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DC" w:rsidRPr="00757EDC" w:rsidRDefault="00757EDC" w:rsidP="00757EDC">
      <w:pPr>
        <w:bidi w:val="0"/>
        <w:jc w:val="center"/>
        <w:rPr>
          <w:rFonts w:asciiTheme="majorBidi" w:eastAsia="Calibri" w:hAnsiTheme="majorBidi" w:cstheme="majorBidi"/>
          <w:b/>
          <w:sz w:val="28"/>
          <w:szCs w:val="28"/>
        </w:rPr>
      </w:pPr>
      <w:r w:rsidRPr="00757EDC">
        <w:rPr>
          <w:rFonts w:asciiTheme="majorBidi" w:eastAsia="Calibri" w:hAnsiTheme="majorBidi" w:cstheme="majorBidi"/>
          <w:b/>
          <w:sz w:val="28"/>
          <w:szCs w:val="28"/>
        </w:rPr>
        <w:t xml:space="preserve">BIOLOGIE DE LA REPRODUCTION DU MERLE NOIR </w:t>
      </w:r>
      <w:r w:rsidRPr="00757EDC">
        <w:rPr>
          <w:rFonts w:asciiTheme="majorBidi" w:eastAsia="Calibri" w:hAnsiTheme="majorBidi" w:cstheme="majorBidi"/>
          <w:b/>
          <w:i/>
          <w:sz w:val="28"/>
          <w:szCs w:val="28"/>
        </w:rPr>
        <w:t>TURDUS MERULA</w:t>
      </w:r>
      <w:r w:rsidRPr="00757EDC">
        <w:rPr>
          <w:rFonts w:asciiTheme="majorBidi" w:eastAsia="Calibri" w:hAnsiTheme="majorBidi" w:cstheme="majorBidi"/>
          <w:b/>
          <w:sz w:val="28"/>
          <w:szCs w:val="28"/>
        </w:rPr>
        <w:t xml:space="preserve"> DANS LES OASIS DES ZIBANS (NORD-EST ALGERIEN)</w:t>
      </w:r>
    </w:p>
    <w:p w:rsidR="00757EDC" w:rsidRPr="00757EDC" w:rsidRDefault="00757EDC" w:rsidP="00757EDC">
      <w:pPr>
        <w:bidi w:val="0"/>
        <w:jc w:val="center"/>
        <w:rPr>
          <w:rFonts w:asciiTheme="majorBidi" w:eastAsia="Calibri" w:hAnsiTheme="majorBidi" w:cstheme="majorBidi"/>
          <w:b/>
          <w:sz w:val="20"/>
          <w:szCs w:val="20"/>
        </w:rPr>
      </w:pPr>
    </w:p>
    <w:p w:rsidR="00757EDC" w:rsidRPr="00757EDC" w:rsidRDefault="00757EDC" w:rsidP="00757EDC">
      <w:pPr>
        <w:autoSpaceDE w:val="0"/>
        <w:autoSpaceDN w:val="0"/>
        <w:bidi w:val="0"/>
        <w:adjustRightInd w:val="0"/>
        <w:jc w:val="center"/>
        <w:rPr>
          <w:rFonts w:asciiTheme="majorBidi" w:hAnsiTheme="majorBidi" w:cstheme="majorBidi"/>
          <w:sz w:val="20"/>
          <w:szCs w:val="20"/>
          <w:lang w:val="fr-CA"/>
        </w:rPr>
      </w:pPr>
    </w:p>
    <w:p w:rsidR="00757EDC" w:rsidRPr="00757EDC" w:rsidRDefault="00757EDC" w:rsidP="00757EDC">
      <w:pPr>
        <w:autoSpaceDE w:val="0"/>
        <w:autoSpaceDN w:val="0"/>
        <w:bidi w:val="0"/>
        <w:adjustRightInd w:val="0"/>
        <w:jc w:val="center"/>
        <w:rPr>
          <w:rFonts w:asciiTheme="majorBidi" w:hAnsiTheme="majorBidi" w:cstheme="majorBidi"/>
          <w:sz w:val="22"/>
          <w:szCs w:val="22"/>
          <w:lang w:val="en-CA"/>
        </w:rPr>
      </w:pPr>
      <w:r w:rsidRPr="00757EDC">
        <w:rPr>
          <w:rFonts w:asciiTheme="majorBidi" w:hAnsiTheme="majorBidi" w:cstheme="majorBidi"/>
          <w:sz w:val="22"/>
          <w:szCs w:val="22"/>
          <w:lang w:val="en-CA"/>
        </w:rPr>
        <w:t>Ala Eddine ADAMOU</w:t>
      </w:r>
      <w:r w:rsidRPr="00757EDC">
        <w:rPr>
          <w:rFonts w:asciiTheme="majorBidi" w:hAnsiTheme="majorBidi" w:cstheme="majorBidi"/>
          <w:position w:val="6"/>
          <w:sz w:val="22"/>
          <w:szCs w:val="22"/>
          <w:vertAlign w:val="superscript"/>
          <w:lang w:val="en-CA"/>
        </w:rPr>
        <w:t>1,</w:t>
      </w:r>
      <w:r w:rsidRPr="00757EDC">
        <w:rPr>
          <w:rFonts w:asciiTheme="majorBidi" w:hAnsiTheme="majorBidi" w:cstheme="majorBidi"/>
          <w:position w:val="6"/>
          <w:sz w:val="22"/>
          <w:szCs w:val="22"/>
          <w:lang w:val="en-CA"/>
        </w:rPr>
        <w:t>*</w:t>
      </w:r>
      <w:r w:rsidRPr="00757EDC">
        <w:rPr>
          <w:rFonts w:asciiTheme="majorBidi" w:hAnsiTheme="majorBidi" w:cstheme="majorBidi"/>
          <w:sz w:val="22"/>
          <w:szCs w:val="22"/>
          <w:lang w:val="en-CA"/>
        </w:rPr>
        <w:t>; TABIBE Rabie</w:t>
      </w:r>
      <w:r w:rsidRPr="00757EDC">
        <w:rPr>
          <w:rFonts w:asciiTheme="majorBidi" w:hAnsiTheme="majorBidi" w:cstheme="majorBidi"/>
          <w:position w:val="6"/>
          <w:sz w:val="22"/>
          <w:szCs w:val="22"/>
          <w:vertAlign w:val="superscript"/>
          <w:lang w:val="en-CA"/>
        </w:rPr>
        <w:t>2</w:t>
      </w:r>
      <w:r w:rsidRPr="00757EDC">
        <w:rPr>
          <w:rFonts w:asciiTheme="majorBidi" w:hAnsiTheme="majorBidi" w:cstheme="majorBidi"/>
          <w:sz w:val="22"/>
          <w:szCs w:val="22"/>
          <w:lang w:val="en-CA"/>
        </w:rPr>
        <w:t>, Mohammed KOUIDRI</w:t>
      </w:r>
      <w:r w:rsidRPr="00757EDC">
        <w:rPr>
          <w:rFonts w:asciiTheme="majorBidi" w:hAnsiTheme="majorBidi" w:cstheme="majorBidi"/>
          <w:position w:val="6"/>
          <w:sz w:val="22"/>
          <w:szCs w:val="22"/>
          <w:vertAlign w:val="superscript"/>
          <w:lang w:val="en-CA"/>
        </w:rPr>
        <w:t>1</w:t>
      </w:r>
      <w:r w:rsidRPr="00757EDC">
        <w:rPr>
          <w:rFonts w:asciiTheme="majorBidi" w:hAnsiTheme="majorBidi" w:cstheme="majorBidi"/>
          <w:sz w:val="22"/>
          <w:szCs w:val="22"/>
          <w:lang w:val="en-CA"/>
        </w:rPr>
        <w:t> &amp; Mohamed Laïd OUAKID</w:t>
      </w:r>
      <w:r w:rsidRPr="00757EDC">
        <w:rPr>
          <w:rFonts w:asciiTheme="majorBidi" w:hAnsiTheme="majorBidi" w:cstheme="majorBidi"/>
          <w:position w:val="6"/>
          <w:sz w:val="22"/>
          <w:szCs w:val="22"/>
          <w:vertAlign w:val="superscript"/>
          <w:lang w:val="en-CA"/>
        </w:rPr>
        <w:t>3</w:t>
      </w:r>
    </w:p>
    <w:p w:rsidR="00757EDC" w:rsidRPr="00757EDC" w:rsidRDefault="00757EDC" w:rsidP="00757EDC">
      <w:pPr>
        <w:bidi w:val="0"/>
        <w:jc w:val="center"/>
        <w:rPr>
          <w:rFonts w:asciiTheme="majorBidi" w:hAnsiTheme="majorBidi" w:cstheme="majorBidi"/>
          <w:i/>
          <w:iCs/>
          <w:sz w:val="20"/>
          <w:szCs w:val="20"/>
          <w:lang w:val="de-DE"/>
        </w:rPr>
      </w:pPr>
      <w:r w:rsidRPr="00757EDC">
        <w:rPr>
          <w:rFonts w:asciiTheme="majorBidi" w:hAnsiTheme="majorBidi" w:cstheme="majorBidi"/>
          <w:sz w:val="20"/>
          <w:szCs w:val="20"/>
          <w:vertAlign w:val="superscript"/>
        </w:rPr>
        <w:t>1</w:t>
      </w:r>
      <w:r w:rsidRPr="00757EDC">
        <w:rPr>
          <w:rFonts w:asciiTheme="majorBidi" w:hAnsiTheme="majorBidi" w:cstheme="majorBidi"/>
          <w:sz w:val="20"/>
          <w:szCs w:val="20"/>
        </w:rPr>
        <w:t xml:space="preserve"> </w:t>
      </w:r>
      <w:r w:rsidRPr="00757EDC">
        <w:rPr>
          <w:rFonts w:asciiTheme="majorBidi" w:hAnsiTheme="majorBidi" w:cstheme="majorBidi"/>
          <w:i/>
          <w:iCs/>
          <w:sz w:val="20"/>
          <w:szCs w:val="20"/>
        </w:rPr>
        <w:t>Université Amar Thlédji –Laghouat, Faculté des sciences de l’ingénieur, Département de Biologie.</w:t>
      </w:r>
    </w:p>
    <w:p w:rsidR="00757EDC" w:rsidRPr="00757EDC" w:rsidRDefault="00757EDC" w:rsidP="00757EDC">
      <w:pPr>
        <w:bidi w:val="0"/>
        <w:jc w:val="center"/>
        <w:rPr>
          <w:rFonts w:asciiTheme="majorBidi" w:hAnsiTheme="majorBidi" w:cstheme="majorBidi"/>
          <w:i/>
          <w:iCs/>
          <w:sz w:val="20"/>
          <w:szCs w:val="20"/>
          <w:lang w:eastAsia="fr-FR"/>
        </w:rPr>
      </w:pPr>
      <w:r w:rsidRPr="00757EDC">
        <w:rPr>
          <w:rFonts w:asciiTheme="majorBidi" w:hAnsiTheme="majorBidi" w:cstheme="majorBidi"/>
          <w:sz w:val="20"/>
          <w:szCs w:val="20"/>
          <w:vertAlign w:val="superscript"/>
        </w:rPr>
        <w:t>2</w:t>
      </w:r>
      <w:r w:rsidRPr="00757EDC">
        <w:rPr>
          <w:rFonts w:asciiTheme="majorBidi" w:hAnsiTheme="majorBidi" w:cstheme="majorBidi"/>
          <w:sz w:val="20"/>
          <w:szCs w:val="20"/>
        </w:rPr>
        <w:t xml:space="preserve"> </w:t>
      </w:r>
      <w:r w:rsidRPr="00757EDC">
        <w:rPr>
          <w:rFonts w:asciiTheme="majorBidi" w:hAnsiTheme="majorBidi" w:cstheme="majorBidi"/>
          <w:i/>
          <w:iCs/>
          <w:sz w:val="20"/>
          <w:szCs w:val="20"/>
        </w:rPr>
        <w:t xml:space="preserve">Université Mohamed Khaider –Biskra, </w:t>
      </w:r>
      <w:r w:rsidRPr="00757EDC">
        <w:rPr>
          <w:rFonts w:asciiTheme="majorBidi" w:hAnsiTheme="majorBidi" w:cstheme="majorBidi"/>
          <w:i/>
          <w:iCs/>
          <w:sz w:val="20"/>
          <w:szCs w:val="20"/>
          <w:lang w:eastAsia="fr-FR"/>
        </w:rPr>
        <w:t>Faculté des Sciences Exactes et Sciences de la Nature et de la Vie,</w:t>
      </w:r>
      <w:r w:rsidRPr="00757EDC">
        <w:rPr>
          <w:rFonts w:asciiTheme="majorBidi" w:hAnsiTheme="majorBidi" w:cstheme="majorBidi"/>
          <w:i/>
          <w:iCs/>
          <w:sz w:val="20"/>
          <w:szCs w:val="20"/>
        </w:rPr>
        <w:t xml:space="preserve"> Département d’Agronomie,</w:t>
      </w:r>
    </w:p>
    <w:p w:rsidR="00757EDC" w:rsidRPr="00757EDC" w:rsidRDefault="00757EDC" w:rsidP="00757EDC">
      <w:pPr>
        <w:bidi w:val="0"/>
        <w:jc w:val="center"/>
        <w:rPr>
          <w:rFonts w:asciiTheme="majorBidi" w:hAnsiTheme="majorBidi" w:cstheme="majorBidi"/>
          <w:i/>
          <w:iCs/>
          <w:sz w:val="20"/>
          <w:szCs w:val="20"/>
        </w:rPr>
      </w:pPr>
      <w:r w:rsidRPr="00757EDC">
        <w:rPr>
          <w:rFonts w:asciiTheme="majorBidi" w:hAnsiTheme="majorBidi" w:cstheme="majorBidi"/>
          <w:sz w:val="20"/>
          <w:szCs w:val="20"/>
          <w:vertAlign w:val="superscript"/>
        </w:rPr>
        <w:t>3</w:t>
      </w:r>
      <w:r w:rsidRPr="00757EDC">
        <w:rPr>
          <w:rFonts w:asciiTheme="majorBidi" w:hAnsiTheme="majorBidi" w:cstheme="majorBidi"/>
          <w:sz w:val="20"/>
          <w:szCs w:val="20"/>
        </w:rPr>
        <w:t xml:space="preserve"> </w:t>
      </w:r>
      <w:r w:rsidRPr="00757EDC">
        <w:rPr>
          <w:rFonts w:asciiTheme="majorBidi" w:hAnsiTheme="majorBidi" w:cstheme="majorBidi"/>
          <w:i/>
          <w:iCs/>
          <w:sz w:val="20"/>
          <w:szCs w:val="20"/>
        </w:rPr>
        <w:t>Université Badji Mokhtar –Annaba, Faculté des sciences, Département de Biologie.</w:t>
      </w:r>
    </w:p>
    <w:p w:rsidR="00757EDC" w:rsidRPr="00F61A13" w:rsidRDefault="00757EDC" w:rsidP="00757EDC">
      <w:pPr>
        <w:bidi w:val="0"/>
        <w:jc w:val="center"/>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 Email : </w:t>
      </w:r>
      <w:hyperlink r:id="rId7" w:history="1">
        <w:r w:rsidRPr="00F61A13">
          <w:rPr>
            <w:rFonts w:asciiTheme="majorBidi" w:eastAsia="Calibri" w:hAnsiTheme="majorBidi" w:cstheme="majorBidi"/>
            <w:sz w:val="20"/>
          </w:rPr>
          <w:t>adamou_alaa@yahoo.fr</w:t>
        </w:r>
      </w:hyperlink>
    </w:p>
    <w:p w:rsidR="00757EDC" w:rsidRDefault="00757EDC" w:rsidP="00757EDC">
      <w:pPr>
        <w:autoSpaceDE w:val="0"/>
        <w:autoSpaceDN w:val="0"/>
        <w:adjustRightInd w:val="0"/>
        <w:rPr>
          <w:rFonts w:asciiTheme="majorBidi" w:eastAsia="Calibri" w:hAnsiTheme="majorBidi" w:cstheme="majorBidi"/>
          <w:b/>
          <w:bCs/>
          <w:color w:val="000000"/>
          <w:sz w:val="20"/>
          <w:szCs w:val="20"/>
          <w:rtl/>
        </w:rPr>
      </w:pPr>
    </w:p>
    <w:p w:rsidR="006070F5" w:rsidRPr="00757EDC" w:rsidRDefault="006070F5" w:rsidP="00757EDC">
      <w:pPr>
        <w:autoSpaceDE w:val="0"/>
        <w:autoSpaceDN w:val="0"/>
        <w:adjustRightInd w:val="0"/>
        <w:rPr>
          <w:rFonts w:asciiTheme="majorBidi" w:eastAsia="Calibri" w:hAnsiTheme="majorBidi" w:cstheme="majorBidi"/>
          <w:b/>
          <w:bCs/>
          <w:color w:val="000000"/>
          <w:sz w:val="20"/>
          <w:szCs w:val="20"/>
          <w:rtl/>
        </w:rPr>
      </w:pPr>
    </w:p>
    <w:p w:rsidR="00757EDC" w:rsidRPr="00757EDC" w:rsidRDefault="00757EDC" w:rsidP="00757EDC">
      <w:pPr>
        <w:autoSpaceDE w:val="0"/>
        <w:autoSpaceDN w:val="0"/>
        <w:bidi w:val="0"/>
        <w:adjustRightInd w:val="0"/>
        <w:jc w:val="both"/>
        <w:rPr>
          <w:rFonts w:asciiTheme="majorBidi" w:eastAsia="Calibri" w:hAnsiTheme="majorBidi" w:cstheme="majorBidi"/>
          <w:color w:val="000000"/>
          <w:sz w:val="20"/>
          <w:szCs w:val="20"/>
          <w:rtl/>
        </w:rPr>
      </w:pPr>
    </w:p>
    <w:p w:rsidR="00757EDC" w:rsidRPr="00757EDC" w:rsidRDefault="00757EDC" w:rsidP="00391D67">
      <w:pPr>
        <w:autoSpaceDE w:val="0"/>
        <w:autoSpaceDN w:val="0"/>
        <w:bidi w:val="0"/>
        <w:adjustRightInd w:val="0"/>
        <w:jc w:val="both"/>
        <w:rPr>
          <w:rFonts w:asciiTheme="majorBidi" w:eastAsia="Calibri" w:hAnsiTheme="majorBidi" w:cstheme="majorBidi"/>
          <w:sz w:val="20"/>
          <w:szCs w:val="20"/>
        </w:rPr>
      </w:pPr>
      <w:r w:rsidRPr="00757EDC">
        <w:rPr>
          <w:rFonts w:asciiTheme="majorBidi" w:eastAsia="Calibri" w:hAnsiTheme="majorBidi" w:cstheme="majorBidi"/>
          <w:b/>
          <w:sz w:val="20"/>
          <w:szCs w:val="20"/>
        </w:rPr>
        <w:t>RESUME</w:t>
      </w:r>
      <w:r w:rsidRPr="00757EDC">
        <w:rPr>
          <w:rFonts w:asciiTheme="majorBidi" w:eastAsia="Calibri" w:hAnsiTheme="majorBidi" w:cstheme="majorBidi"/>
          <w:sz w:val="20"/>
          <w:szCs w:val="20"/>
        </w:rPr>
        <w:t> : Le Merle noir dont l’origine est strictement inféodée au milieu forestier, a progressivement colonisé plusieurs milieux. Aujourd’hui son habitat est très diversifié, incluant une gamme variée d’habitats forestiers et pseudo-forestiers comme les oasis. La région de Biskra représente les limites méridionales des aires de répartition de plusieurs espèces d’oiseaux et les facteurs qui déterminent cette répartition sont peu connus.  L’étude de la phénologie de la reproduction du Merle noir réalisée entre 2007 et 2009, au niveau des oasis de Biskra (34°48’N, 5°56’E), a pour but d’expliquer son actuelle répartition biogéographique et l’interaction avec son milieu en plaine extension. Les résultats montrent que le Merle noir se reproduit dans le cœur du palmier à des hauteurs variables (0,7 à 7 m), avec une densité moyenne de 2,3 couples/10ha. Cette espèce commence la ponte au début du mois de mars jusqu’au la fin juin avec 1 à 3 pontes annuelles. Dans les palmeraies des Zibans, le Merle noir pond en moyenne 3,15 œufs, de 7,11 cm</w:t>
      </w:r>
      <w:r w:rsidRPr="00757EDC">
        <w:rPr>
          <w:rFonts w:asciiTheme="majorBidi" w:eastAsia="Calibri" w:hAnsiTheme="majorBidi" w:cstheme="majorBidi"/>
          <w:sz w:val="20"/>
          <w:szCs w:val="20"/>
          <w:vertAlign w:val="superscript"/>
        </w:rPr>
        <w:t xml:space="preserve">3 </w:t>
      </w:r>
      <w:r w:rsidRPr="00757EDC">
        <w:rPr>
          <w:rFonts w:asciiTheme="majorBidi" w:eastAsia="Calibri" w:hAnsiTheme="majorBidi" w:cstheme="majorBidi"/>
          <w:sz w:val="20"/>
          <w:szCs w:val="20"/>
        </w:rPr>
        <w:t>de volume et de 7,24g de masse. Ces paramètres sont variables d’une année à l’autre et par rapport aux autres populations qui nichent au Nord (Europe). Les résultats sont discutés à la lumière des connaissances actuelles sur la reproduction et la répartition biogéographique de cette espèce.</w:t>
      </w:r>
    </w:p>
    <w:p w:rsidR="00757EDC" w:rsidRPr="00757EDC" w:rsidRDefault="000A4C70" w:rsidP="00757EDC">
      <w:pPr>
        <w:autoSpaceDE w:val="0"/>
        <w:autoSpaceDN w:val="0"/>
        <w:bidi w:val="0"/>
        <w:adjustRightInd w:val="0"/>
        <w:jc w:val="both"/>
        <w:rPr>
          <w:rFonts w:asciiTheme="majorBidi" w:eastAsia="Calibri" w:hAnsiTheme="majorBidi" w:cstheme="majorBidi"/>
          <w:sz w:val="20"/>
          <w:szCs w:val="20"/>
        </w:rPr>
      </w:pPr>
      <w:r w:rsidRPr="000A4C70">
        <w:rPr>
          <w:rFonts w:ascii="Verdana" w:eastAsia="Calibri" w:hAnsi="Verdana"/>
          <w:sz w:val="20"/>
          <w:szCs w:val="20"/>
          <w:lang w:val="fr-CA" w:eastAsia="fr-CA"/>
        </w:rPr>
        <w:pict>
          <v:rect id="_x0000_i1025" style="width:137.75pt;height:.75pt" o:hrpct="300" o:hrstd="t" o:hr="t" fillcolor="#a0a0a0" stroked="f"/>
        </w:pict>
      </w:r>
      <w:r w:rsidR="00757EDC" w:rsidRPr="00757EDC">
        <w:rPr>
          <w:rFonts w:asciiTheme="majorBidi" w:eastAsia="Calibri" w:hAnsiTheme="majorBidi" w:cstheme="majorBidi"/>
          <w:b/>
          <w:sz w:val="20"/>
          <w:szCs w:val="20"/>
        </w:rPr>
        <w:t>MOTS CLES</w:t>
      </w:r>
      <w:r w:rsidR="00757EDC" w:rsidRPr="00757EDC">
        <w:rPr>
          <w:rFonts w:asciiTheme="majorBidi" w:eastAsia="Calibri" w:hAnsiTheme="majorBidi" w:cstheme="majorBidi"/>
          <w:sz w:val="20"/>
          <w:szCs w:val="20"/>
        </w:rPr>
        <w:t xml:space="preserve"> : Oasis, Biskra, Merle noir, reproduction, répartition biogéographique.   </w:t>
      </w:r>
    </w:p>
    <w:p w:rsidR="00757EDC" w:rsidRPr="00757EDC" w:rsidRDefault="00757EDC" w:rsidP="00757EDC">
      <w:pPr>
        <w:autoSpaceDE w:val="0"/>
        <w:autoSpaceDN w:val="0"/>
        <w:bidi w:val="0"/>
        <w:adjustRightInd w:val="0"/>
        <w:jc w:val="both"/>
        <w:rPr>
          <w:rFonts w:asciiTheme="majorBidi" w:eastAsia="Calibri" w:hAnsiTheme="majorBidi" w:cstheme="majorBidi"/>
          <w:sz w:val="20"/>
          <w:szCs w:val="20"/>
        </w:rPr>
      </w:pPr>
    </w:p>
    <w:p w:rsidR="00757EDC" w:rsidRPr="00757EDC" w:rsidRDefault="00757EDC" w:rsidP="00757EDC">
      <w:pPr>
        <w:autoSpaceDE w:val="0"/>
        <w:autoSpaceDN w:val="0"/>
        <w:bidi w:val="0"/>
        <w:adjustRightInd w:val="0"/>
        <w:jc w:val="both"/>
        <w:rPr>
          <w:rFonts w:asciiTheme="majorBidi" w:eastAsia="Calibri" w:hAnsiTheme="majorBidi" w:cstheme="majorBidi"/>
          <w:sz w:val="20"/>
          <w:szCs w:val="20"/>
          <w:lang w:val="en-GB"/>
        </w:rPr>
      </w:pPr>
      <w:r w:rsidRPr="00757EDC">
        <w:rPr>
          <w:rFonts w:asciiTheme="majorBidi" w:eastAsia="Calibri" w:hAnsiTheme="majorBidi" w:cstheme="majorBidi"/>
          <w:b/>
          <w:sz w:val="20"/>
          <w:szCs w:val="20"/>
          <w:lang w:val="en-GB"/>
        </w:rPr>
        <w:t>ABSTRACT</w:t>
      </w:r>
      <w:r w:rsidRPr="00757EDC">
        <w:rPr>
          <w:rFonts w:asciiTheme="majorBidi" w:eastAsia="Calibri" w:hAnsiTheme="majorBidi" w:cstheme="majorBidi"/>
          <w:sz w:val="20"/>
          <w:szCs w:val="20"/>
          <w:lang w:val="en-GB"/>
        </w:rPr>
        <w:t xml:space="preserve">: The Blackbird, whose origin strictly attached in the forest habitat, gradually colonized several environments. Today are habitat is very diversified, including a varied range of forest habitats and pseudoforestiers like the oases. The area of Biskra represents the southernmost limits of the geographic range of several birds’ species and the factors which determine this distribution are unknown. </w:t>
      </w:r>
    </w:p>
    <w:p w:rsidR="00757EDC" w:rsidRPr="00757EDC" w:rsidRDefault="00757EDC" w:rsidP="004859C0">
      <w:pPr>
        <w:autoSpaceDE w:val="0"/>
        <w:autoSpaceDN w:val="0"/>
        <w:bidi w:val="0"/>
        <w:adjustRightInd w:val="0"/>
        <w:jc w:val="both"/>
        <w:rPr>
          <w:rFonts w:asciiTheme="majorBidi" w:eastAsia="Calibri" w:hAnsiTheme="majorBidi" w:cstheme="majorBidi"/>
          <w:sz w:val="20"/>
          <w:szCs w:val="20"/>
          <w:lang w:val="en-GB"/>
        </w:rPr>
      </w:pPr>
      <w:r w:rsidRPr="00757EDC">
        <w:rPr>
          <w:rFonts w:asciiTheme="majorBidi" w:eastAsia="Calibri" w:hAnsiTheme="majorBidi" w:cstheme="majorBidi"/>
          <w:sz w:val="20"/>
          <w:szCs w:val="20"/>
          <w:lang w:val="en-GB"/>
        </w:rPr>
        <w:t>The study of reproduction life traits of the Blackbird realize</w:t>
      </w:r>
      <w:r w:rsidR="00332319">
        <w:rPr>
          <w:rFonts w:asciiTheme="majorBidi" w:eastAsia="Calibri" w:hAnsiTheme="majorBidi" w:cstheme="majorBidi"/>
          <w:sz w:val="20"/>
          <w:szCs w:val="20"/>
          <w:lang w:val="en-GB"/>
        </w:rPr>
        <w:t>d between 2007 and 2009, on the</w:t>
      </w:r>
      <w:r w:rsidRPr="00757EDC">
        <w:rPr>
          <w:rFonts w:asciiTheme="majorBidi" w:eastAsia="Calibri" w:hAnsiTheme="majorBidi" w:cstheme="majorBidi"/>
          <w:sz w:val="20"/>
          <w:szCs w:val="20"/>
          <w:lang w:val="en-GB"/>
        </w:rPr>
        <w:t xml:space="preserve"> Biskra oases (34°48' NR, 5°56' E), is to explain its current biogeographic distribution and the interaction with habitat in extension.  The results show that the Blackbird layer in the heart of the palm tree to variable heights (0</w:t>
      </w:r>
      <w:r w:rsidR="004859C0">
        <w:rPr>
          <w:rFonts w:asciiTheme="majorBidi" w:eastAsia="Calibri" w:hAnsiTheme="majorBidi" w:cstheme="majorBidi"/>
          <w:sz w:val="20"/>
          <w:szCs w:val="20"/>
          <w:lang w:val="en-GB"/>
        </w:rPr>
        <w:t>.</w:t>
      </w:r>
      <w:r w:rsidRPr="00757EDC">
        <w:rPr>
          <w:rFonts w:asciiTheme="majorBidi" w:eastAsia="Calibri" w:hAnsiTheme="majorBidi" w:cstheme="majorBidi"/>
          <w:sz w:val="20"/>
          <w:szCs w:val="20"/>
          <w:lang w:val="en-GB"/>
        </w:rPr>
        <w:t xml:space="preserve">7 to </w:t>
      </w:r>
      <w:smartTag w:uri="urn:schemas-microsoft-com:office:smarttags" w:element="metricconverter">
        <w:smartTagPr>
          <w:attr w:name="ProductID" w:val="7 m"/>
        </w:smartTagPr>
        <w:r w:rsidRPr="00757EDC">
          <w:rPr>
            <w:rFonts w:asciiTheme="majorBidi" w:eastAsia="Calibri" w:hAnsiTheme="majorBidi" w:cstheme="majorBidi"/>
            <w:sz w:val="20"/>
            <w:szCs w:val="20"/>
            <w:lang w:val="en-GB"/>
          </w:rPr>
          <w:t>7 m</w:t>
        </w:r>
      </w:smartTag>
      <w:r w:rsidRPr="00757EDC">
        <w:rPr>
          <w:rFonts w:asciiTheme="majorBidi" w:eastAsia="Calibri" w:hAnsiTheme="majorBidi" w:cstheme="majorBidi"/>
          <w:sz w:val="20"/>
          <w:szCs w:val="20"/>
          <w:lang w:val="en-GB"/>
        </w:rPr>
        <w:t>), with an average density of 2</w:t>
      </w:r>
      <w:r w:rsidR="004859C0">
        <w:rPr>
          <w:rFonts w:asciiTheme="majorBidi" w:eastAsia="Calibri" w:hAnsiTheme="majorBidi" w:cstheme="majorBidi"/>
          <w:sz w:val="20"/>
          <w:szCs w:val="20"/>
          <w:lang w:val="en-GB"/>
        </w:rPr>
        <w:t>.</w:t>
      </w:r>
      <w:r w:rsidRPr="00757EDC">
        <w:rPr>
          <w:rFonts w:asciiTheme="majorBidi" w:eastAsia="Calibri" w:hAnsiTheme="majorBidi" w:cstheme="majorBidi"/>
          <w:sz w:val="20"/>
          <w:szCs w:val="20"/>
          <w:lang w:val="en-GB"/>
        </w:rPr>
        <w:t>3 couples/10ha. This species begins the laying in beginning-March until end-June with 1 to 3 annual clutches. In Zibans oasis, the Blackbird lays on average 3</w:t>
      </w:r>
      <w:r w:rsidR="004859C0">
        <w:rPr>
          <w:rFonts w:asciiTheme="majorBidi" w:eastAsia="Calibri" w:hAnsiTheme="majorBidi" w:cstheme="majorBidi"/>
          <w:sz w:val="20"/>
          <w:szCs w:val="20"/>
          <w:lang w:val="en-GB"/>
        </w:rPr>
        <w:t>.</w:t>
      </w:r>
      <w:r w:rsidRPr="00757EDC">
        <w:rPr>
          <w:rFonts w:asciiTheme="majorBidi" w:eastAsia="Calibri" w:hAnsiTheme="majorBidi" w:cstheme="majorBidi"/>
          <w:sz w:val="20"/>
          <w:szCs w:val="20"/>
          <w:lang w:val="en-GB"/>
        </w:rPr>
        <w:t>15 eggs, of a volume of 7</w:t>
      </w:r>
      <w:r w:rsidR="004859C0">
        <w:rPr>
          <w:rFonts w:asciiTheme="majorBidi" w:eastAsia="Calibri" w:hAnsiTheme="majorBidi" w:cstheme="majorBidi"/>
          <w:sz w:val="20"/>
          <w:szCs w:val="20"/>
          <w:lang w:val="en-GB"/>
        </w:rPr>
        <w:t>.</w:t>
      </w:r>
      <w:r w:rsidRPr="00757EDC">
        <w:rPr>
          <w:rFonts w:asciiTheme="majorBidi" w:eastAsia="Calibri" w:hAnsiTheme="majorBidi" w:cstheme="majorBidi"/>
          <w:sz w:val="20"/>
          <w:szCs w:val="20"/>
          <w:lang w:val="en-GB"/>
        </w:rPr>
        <w:t>11 cm</w:t>
      </w:r>
      <w:r w:rsidRPr="00757EDC">
        <w:rPr>
          <w:rFonts w:asciiTheme="majorBidi" w:eastAsia="Calibri" w:hAnsiTheme="majorBidi" w:cstheme="majorBidi"/>
          <w:sz w:val="20"/>
          <w:szCs w:val="20"/>
          <w:vertAlign w:val="superscript"/>
          <w:lang w:val="en-GB"/>
        </w:rPr>
        <w:t>3</w:t>
      </w:r>
      <w:r w:rsidRPr="00757EDC">
        <w:rPr>
          <w:rFonts w:asciiTheme="majorBidi" w:eastAsia="Calibri" w:hAnsiTheme="majorBidi" w:cstheme="majorBidi"/>
          <w:sz w:val="20"/>
          <w:szCs w:val="20"/>
          <w:lang w:val="en-GB"/>
        </w:rPr>
        <w:t xml:space="preserve"> and a 7</w:t>
      </w:r>
      <w:r w:rsidR="004859C0">
        <w:rPr>
          <w:rFonts w:asciiTheme="majorBidi" w:eastAsia="Calibri" w:hAnsiTheme="majorBidi" w:cstheme="majorBidi"/>
          <w:sz w:val="20"/>
          <w:szCs w:val="20"/>
          <w:lang w:val="en-GB"/>
        </w:rPr>
        <w:t>.</w:t>
      </w:r>
      <w:r w:rsidRPr="00757EDC">
        <w:rPr>
          <w:rFonts w:asciiTheme="majorBidi" w:eastAsia="Calibri" w:hAnsiTheme="majorBidi" w:cstheme="majorBidi"/>
          <w:sz w:val="20"/>
          <w:szCs w:val="20"/>
          <w:lang w:val="en-GB"/>
        </w:rPr>
        <w:t>24g for a mass. These parameters are variable one year to the other and compared to the other populations which nests in North (Europe). The whole of the results is discussed in the light of current knowledge on the reproduction and the biogeographic distribution of this species.</w:t>
      </w:r>
    </w:p>
    <w:p w:rsidR="00757EDC" w:rsidRPr="00757EDC" w:rsidRDefault="000A4C70" w:rsidP="00757EDC">
      <w:pPr>
        <w:bidi w:val="0"/>
        <w:rPr>
          <w:rFonts w:asciiTheme="majorBidi" w:eastAsia="Calibri" w:hAnsiTheme="majorBidi" w:cstheme="majorBidi"/>
          <w:sz w:val="20"/>
          <w:szCs w:val="20"/>
          <w:lang w:val="en-GB"/>
        </w:rPr>
      </w:pPr>
      <w:r w:rsidRPr="000A4C70">
        <w:rPr>
          <w:rFonts w:ascii="Verdana" w:eastAsia="Calibri" w:hAnsi="Verdana"/>
          <w:sz w:val="20"/>
          <w:szCs w:val="20"/>
          <w:lang w:val="fr-CA" w:eastAsia="fr-CA"/>
        </w:rPr>
        <w:pict>
          <v:rect id="_x0000_i1026" style="width:137.75pt;height:.75pt" o:hrpct="300" o:hrstd="t" o:hr="t" fillcolor="#a0a0a0" stroked="f"/>
        </w:pict>
      </w:r>
      <w:r w:rsidR="00757EDC" w:rsidRPr="00757EDC">
        <w:rPr>
          <w:rFonts w:asciiTheme="majorBidi" w:eastAsia="Calibri" w:hAnsiTheme="majorBidi" w:cstheme="majorBidi"/>
          <w:b/>
          <w:sz w:val="20"/>
          <w:szCs w:val="20"/>
          <w:lang w:val="en-GB"/>
        </w:rPr>
        <w:t>KEYWORDS</w:t>
      </w:r>
      <w:r w:rsidR="00757EDC" w:rsidRPr="00757EDC">
        <w:rPr>
          <w:rFonts w:asciiTheme="majorBidi" w:eastAsia="Calibri" w:hAnsiTheme="majorBidi" w:cstheme="majorBidi"/>
          <w:sz w:val="20"/>
          <w:szCs w:val="20"/>
          <w:lang w:val="en-GB"/>
        </w:rPr>
        <w:t xml:space="preserve">: Oases, Biskra, Blackbird, reproduction, biogeographic distribution.  </w:t>
      </w:r>
    </w:p>
    <w:p w:rsidR="00757EDC" w:rsidRPr="00757EDC" w:rsidRDefault="00757EDC" w:rsidP="00757EDC">
      <w:pPr>
        <w:bidi w:val="0"/>
        <w:rPr>
          <w:rFonts w:asciiTheme="majorBidi" w:eastAsia="Calibri" w:hAnsiTheme="majorBidi" w:cstheme="majorBidi"/>
          <w:sz w:val="20"/>
          <w:szCs w:val="20"/>
          <w:lang w:val="en-GB"/>
        </w:rPr>
      </w:pPr>
    </w:p>
    <w:p w:rsidR="00757EDC" w:rsidRPr="00757EDC" w:rsidRDefault="00757EDC" w:rsidP="00757EDC">
      <w:pPr>
        <w:bidi w:val="0"/>
        <w:rPr>
          <w:rFonts w:asciiTheme="majorBidi" w:eastAsia="Calibri" w:hAnsiTheme="majorBidi" w:cstheme="majorBidi"/>
          <w:sz w:val="20"/>
          <w:szCs w:val="20"/>
          <w:lang w:val="en-GB"/>
        </w:rPr>
      </w:pPr>
    </w:p>
    <w:p w:rsidR="00757EDC" w:rsidRPr="00757EDC" w:rsidRDefault="00757EDC" w:rsidP="00757EDC">
      <w:pPr>
        <w:bidi w:val="0"/>
        <w:rPr>
          <w:rFonts w:asciiTheme="majorBidi" w:eastAsia="Calibri" w:hAnsiTheme="majorBidi" w:cstheme="majorBidi"/>
          <w:sz w:val="20"/>
          <w:szCs w:val="20"/>
          <w:lang w:val="en-GB"/>
        </w:rPr>
      </w:pPr>
    </w:p>
    <w:p w:rsidR="00757EDC" w:rsidRPr="00757EDC" w:rsidRDefault="00757EDC" w:rsidP="00757EDC">
      <w:pPr>
        <w:bidi w:val="0"/>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 xml:space="preserve">1. INTRODUCTION </w:t>
      </w:r>
    </w:p>
    <w:p w:rsidR="00757EDC" w:rsidRPr="00757EDC" w:rsidRDefault="006070F5" w:rsidP="006070F5">
      <w:pPr>
        <w:bidi w:val="0"/>
        <w:jc w:val="both"/>
        <w:rPr>
          <w:rFonts w:asciiTheme="majorBidi" w:eastAsia="Calibri" w:hAnsiTheme="majorBidi" w:cstheme="majorBidi"/>
          <w:sz w:val="22"/>
          <w:szCs w:val="22"/>
        </w:rPr>
      </w:pPr>
      <w:r>
        <w:rPr>
          <w:rFonts w:asciiTheme="majorBidi" w:eastAsia="Calibri" w:hAnsiTheme="majorBidi" w:cstheme="majorBidi"/>
          <w:sz w:val="22"/>
          <w:szCs w:val="22"/>
        </w:rPr>
        <w:t xml:space="preserve">    </w:t>
      </w:r>
      <w:r w:rsidR="00757EDC" w:rsidRPr="00757EDC">
        <w:rPr>
          <w:rFonts w:asciiTheme="majorBidi" w:eastAsia="Calibri" w:hAnsiTheme="majorBidi" w:cstheme="majorBidi"/>
          <w:sz w:val="22"/>
          <w:szCs w:val="22"/>
        </w:rPr>
        <w:t>Les oasis du palmier dattier (</w:t>
      </w:r>
      <w:r w:rsidR="00757EDC" w:rsidRPr="00757EDC">
        <w:rPr>
          <w:rFonts w:asciiTheme="majorBidi" w:eastAsia="Calibri" w:hAnsiTheme="majorBidi" w:cstheme="majorBidi"/>
          <w:i/>
          <w:iCs/>
          <w:sz w:val="22"/>
          <w:szCs w:val="22"/>
        </w:rPr>
        <w:t>Phoenix dactylifera</w:t>
      </w:r>
      <w:r w:rsidR="00757EDC" w:rsidRPr="00757EDC">
        <w:rPr>
          <w:rFonts w:asciiTheme="majorBidi" w:eastAsia="Calibri" w:hAnsiTheme="majorBidi" w:cstheme="majorBidi"/>
          <w:sz w:val="22"/>
          <w:szCs w:val="22"/>
        </w:rPr>
        <w:t xml:space="preserve">) présentent un intérêt écologique très important. De part leur adaptation aux milieux arides et leur capacité d’accueil, elles remplacent les forêts méridionales de l’Atlas saharien. Le Merle noir, très élastique dans le choix de son habitat niche dans les oasis septentrionales (Heim de Balzac, 1926 ; Etchecopar et Hüe, 1962 ; Selmi </w:t>
      </w:r>
      <w:r w:rsidR="00757EDC" w:rsidRPr="00757EDC">
        <w:rPr>
          <w:rFonts w:asciiTheme="majorBidi" w:eastAsia="Calibri" w:hAnsiTheme="majorBidi" w:cstheme="majorBidi"/>
          <w:i/>
          <w:sz w:val="22"/>
          <w:szCs w:val="22"/>
        </w:rPr>
        <w:t>et al.,</w:t>
      </w:r>
      <w:r>
        <w:rPr>
          <w:rFonts w:asciiTheme="majorBidi" w:eastAsia="Calibri" w:hAnsiTheme="majorBidi" w:cstheme="majorBidi"/>
          <w:i/>
          <w:sz w:val="22"/>
          <w:szCs w:val="22"/>
        </w:rPr>
        <w:t xml:space="preserve"> </w:t>
      </w:r>
      <w:r w:rsidR="00757EDC" w:rsidRPr="00757EDC">
        <w:rPr>
          <w:rFonts w:asciiTheme="majorBidi" w:eastAsia="Calibri" w:hAnsiTheme="majorBidi" w:cstheme="majorBidi"/>
          <w:sz w:val="22"/>
          <w:szCs w:val="22"/>
        </w:rPr>
        <w:t xml:space="preserve">2002 ; Ghezoule, 2005)  dans des conditions écologiques différentes de son milieu naturel. Il a fait l’objet de plusieurs études sur son comportement (Cramp, 1988 ; </w:t>
      </w:r>
      <w:r w:rsidR="00757EDC" w:rsidRPr="00757EDC">
        <w:rPr>
          <w:rFonts w:asciiTheme="majorBidi" w:eastAsia="Calibri" w:hAnsiTheme="majorBidi" w:cstheme="majorBidi"/>
          <w:color w:val="000000"/>
          <w:sz w:val="22"/>
          <w:szCs w:val="22"/>
        </w:rPr>
        <w:t xml:space="preserve">Ludving </w:t>
      </w:r>
      <w:r w:rsidR="00757EDC" w:rsidRPr="00332319">
        <w:rPr>
          <w:rFonts w:asciiTheme="majorBidi" w:eastAsia="Calibri" w:hAnsiTheme="majorBidi" w:cstheme="majorBidi"/>
          <w:i/>
          <w:color w:val="000000"/>
          <w:sz w:val="22"/>
          <w:szCs w:val="22"/>
        </w:rPr>
        <w:t>et</w:t>
      </w:r>
      <w:r w:rsidR="00757EDC" w:rsidRPr="00757EDC">
        <w:rPr>
          <w:rFonts w:asciiTheme="majorBidi" w:eastAsia="Calibri" w:hAnsiTheme="majorBidi" w:cstheme="majorBidi"/>
          <w:color w:val="000000"/>
          <w:sz w:val="22"/>
          <w:szCs w:val="22"/>
        </w:rPr>
        <w:t xml:space="preserve"> </w:t>
      </w:r>
      <w:r w:rsidR="00757EDC" w:rsidRPr="00757EDC">
        <w:rPr>
          <w:rFonts w:asciiTheme="majorBidi" w:eastAsia="Calibri" w:hAnsiTheme="majorBidi" w:cstheme="majorBidi"/>
          <w:i/>
          <w:iCs/>
          <w:color w:val="000000"/>
          <w:sz w:val="22"/>
          <w:szCs w:val="22"/>
        </w:rPr>
        <w:t>al</w:t>
      </w:r>
      <w:r w:rsidR="00757EDC" w:rsidRPr="00757EDC">
        <w:rPr>
          <w:rFonts w:asciiTheme="majorBidi" w:eastAsia="Calibri" w:hAnsiTheme="majorBidi" w:cstheme="majorBidi"/>
          <w:color w:val="000000"/>
          <w:sz w:val="22"/>
          <w:szCs w:val="22"/>
        </w:rPr>
        <w:t xml:space="preserve">., 1994 ; </w:t>
      </w:r>
      <w:r w:rsidR="00757EDC" w:rsidRPr="00757EDC">
        <w:rPr>
          <w:rFonts w:asciiTheme="majorBidi" w:eastAsia="Calibri" w:hAnsiTheme="majorBidi" w:cstheme="majorBidi"/>
          <w:sz w:val="22"/>
          <w:szCs w:val="22"/>
        </w:rPr>
        <w:t xml:space="preserve">Snow, 1988), régime alimentaire (Dyrcz, 1969 ; Török 1981 ; </w:t>
      </w:r>
      <w:r w:rsidR="00757EDC" w:rsidRPr="00757EDC">
        <w:rPr>
          <w:rFonts w:asciiTheme="majorBidi" w:eastAsia="Calibri" w:hAnsiTheme="majorBidi" w:cstheme="majorBidi"/>
          <w:color w:val="000000"/>
          <w:sz w:val="22"/>
          <w:szCs w:val="22"/>
        </w:rPr>
        <w:t>Schnack, 1991</w:t>
      </w:r>
      <w:r w:rsidR="00757EDC" w:rsidRPr="00757EDC">
        <w:rPr>
          <w:rFonts w:asciiTheme="majorBidi" w:eastAsia="Calibri" w:hAnsiTheme="majorBidi" w:cstheme="majorBidi"/>
          <w:sz w:val="22"/>
          <w:szCs w:val="22"/>
        </w:rPr>
        <w:t xml:space="preserve">),  reproduction (Perez et </w:t>
      </w:r>
      <w:r w:rsidR="00757EDC" w:rsidRPr="00757EDC">
        <w:rPr>
          <w:rFonts w:asciiTheme="majorBidi" w:eastAsia="Calibri" w:hAnsiTheme="majorBidi" w:cstheme="majorBidi"/>
          <w:i/>
          <w:iCs/>
          <w:sz w:val="22"/>
          <w:szCs w:val="22"/>
        </w:rPr>
        <w:t>al</w:t>
      </w:r>
      <w:r w:rsidR="00757EDC" w:rsidRPr="00757EDC">
        <w:rPr>
          <w:rFonts w:asciiTheme="majorBidi" w:eastAsia="Calibri" w:hAnsiTheme="majorBidi" w:cstheme="majorBidi"/>
          <w:sz w:val="22"/>
          <w:szCs w:val="22"/>
        </w:rPr>
        <w:t xml:space="preserve">., 1979 ; Snow, 1989 ; Khelfaoui, 2007) et comme un modèle pour étudier les relations hôte-parasites (Barroca, 2005 ; Khelfaoui, 2007). De part sa répartition très large, depuis la Scandinavie jusqu’à l’Afrique du Nord (Cramp, 1988), il présente une grande variation des traits de vie et une importance biogéographique </w:t>
      </w:r>
      <w:r w:rsidR="00757EDC" w:rsidRPr="00757EDC">
        <w:rPr>
          <w:rFonts w:asciiTheme="majorBidi" w:eastAsia="Calibri" w:hAnsiTheme="majorBidi" w:cstheme="majorBidi"/>
          <w:sz w:val="22"/>
          <w:szCs w:val="22"/>
        </w:rPr>
        <w:lastRenderedPageBreak/>
        <w:t>certaine. Dans cette étude nous nous somme intéressé à la caractérisation de quelques traits de vie de cette espèce qui niche dans les oasis.</w:t>
      </w:r>
    </w:p>
    <w:p w:rsidR="00757EDC" w:rsidRDefault="00757EDC" w:rsidP="00757EDC">
      <w:pPr>
        <w:bidi w:val="0"/>
        <w:jc w:val="both"/>
        <w:rPr>
          <w:rFonts w:asciiTheme="majorBidi" w:hAnsiTheme="majorBidi" w:cstheme="majorBidi"/>
          <w:b/>
          <w:bCs/>
          <w:sz w:val="22"/>
          <w:szCs w:val="22"/>
          <w:lang w:eastAsia="fr-FR"/>
        </w:rPr>
      </w:pPr>
    </w:p>
    <w:p w:rsidR="006070F5" w:rsidRDefault="006070F5" w:rsidP="006070F5">
      <w:pPr>
        <w:bidi w:val="0"/>
        <w:jc w:val="both"/>
        <w:rPr>
          <w:rFonts w:asciiTheme="majorBidi" w:hAnsiTheme="majorBidi" w:cstheme="majorBidi"/>
          <w:b/>
          <w:bCs/>
          <w:sz w:val="22"/>
          <w:szCs w:val="22"/>
          <w:lang w:eastAsia="fr-FR"/>
        </w:rPr>
      </w:pPr>
    </w:p>
    <w:p w:rsidR="006070F5" w:rsidRDefault="006070F5" w:rsidP="006070F5">
      <w:pPr>
        <w:bidi w:val="0"/>
        <w:jc w:val="both"/>
        <w:rPr>
          <w:rFonts w:asciiTheme="majorBidi" w:hAnsiTheme="majorBidi" w:cstheme="majorBidi"/>
          <w:b/>
          <w:bCs/>
          <w:sz w:val="22"/>
          <w:szCs w:val="22"/>
          <w:lang w:eastAsia="fr-FR"/>
        </w:rPr>
      </w:pPr>
    </w:p>
    <w:p w:rsidR="00757EDC" w:rsidRPr="00757EDC" w:rsidRDefault="00757EDC" w:rsidP="00757EDC">
      <w:pPr>
        <w:bidi w:val="0"/>
        <w:jc w:val="both"/>
        <w:rPr>
          <w:rFonts w:asciiTheme="majorBidi" w:hAnsiTheme="majorBidi" w:cstheme="majorBidi"/>
          <w:b/>
          <w:bCs/>
          <w:sz w:val="22"/>
          <w:szCs w:val="22"/>
          <w:lang w:val="fr-BE" w:eastAsia="fr-FR"/>
        </w:rPr>
      </w:pPr>
      <w:r w:rsidRPr="00757EDC">
        <w:rPr>
          <w:rFonts w:asciiTheme="majorBidi" w:hAnsiTheme="majorBidi" w:cstheme="majorBidi"/>
          <w:b/>
          <w:bCs/>
          <w:sz w:val="22"/>
          <w:szCs w:val="22"/>
          <w:lang w:eastAsia="fr-FR"/>
        </w:rPr>
        <w:t>2. MATERIEL ET METHODE </w:t>
      </w:r>
    </w:p>
    <w:p w:rsidR="00757EDC" w:rsidRPr="00757EDC" w:rsidRDefault="006070F5" w:rsidP="006070F5">
      <w:pPr>
        <w:autoSpaceDE w:val="0"/>
        <w:autoSpaceDN w:val="0"/>
        <w:bidi w:val="0"/>
        <w:adjustRightInd w:val="0"/>
        <w:ind w:left="4" w:right="4"/>
        <w:jc w:val="both"/>
        <w:rPr>
          <w:rFonts w:asciiTheme="majorBidi" w:hAnsiTheme="majorBidi" w:cstheme="majorBidi"/>
          <w:sz w:val="22"/>
          <w:szCs w:val="22"/>
          <w:lang w:eastAsia="fr-FR"/>
        </w:rPr>
      </w:pPr>
      <w:r>
        <w:rPr>
          <w:rFonts w:asciiTheme="majorBidi" w:hAnsiTheme="majorBidi" w:cstheme="majorBidi"/>
          <w:bCs/>
          <w:sz w:val="22"/>
          <w:szCs w:val="22"/>
          <w:lang w:eastAsia="fr-FR"/>
        </w:rPr>
        <w:t xml:space="preserve">    </w:t>
      </w:r>
      <w:r w:rsidR="00757EDC" w:rsidRPr="00757EDC">
        <w:rPr>
          <w:rFonts w:asciiTheme="majorBidi" w:hAnsiTheme="majorBidi" w:cstheme="majorBidi"/>
          <w:bCs/>
          <w:sz w:val="22"/>
          <w:szCs w:val="22"/>
          <w:lang w:eastAsia="fr-FR"/>
        </w:rPr>
        <w:t xml:space="preserve">L’échantillonnage a été effectué dans la région des Zibans (Biskra) qui se trouve </w:t>
      </w:r>
      <w:r w:rsidR="00757EDC" w:rsidRPr="00757EDC">
        <w:rPr>
          <w:rFonts w:asciiTheme="majorBidi" w:hAnsiTheme="majorBidi" w:cstheme="majorBidi"/>
          <w:sz w:val="22"/>
          <w:szCs w:val="22"/>
          <w:lang w:eastAsia="fr-FR"/>
        </w:rPr>
        <w:t xml:space="preserve">dans le Nord-est algérien, à environ 420 km de la capitale Alger. Située au piémont Sud de l’Atlas saharien, </w:t>
      </w:r>
      <w:r w:rsidR="00757EDC" w:rsidRPr="00757EDC">
        <w:rPr>
          <w:rFonts w:asciiTheme="majorBidi" w:hAnsiTheme="majorBidi" w:cstheme="majorBidi"/>
          <w:sz w:val="22"/>
          <w:szCs w:val="22"/>
          <w:lang w:eastAsia="fr-FR" w:bidi="he-IL"/>
        </w:rPr>
        <w:t>et caractérisée par un climat aride</w:t>
      </w:r>
      <w:r w:rsidR="00757EDC" w:rsidRPr="00757EDC">
        <w:rPr>
          <w:rFonts w:asciiTheme="majorBidi" w:hAnsiTheme="majorBidi" w:cstheme="majorBidi"/>
          <w:sz w:val="22"/>
          <w:szCs w:val="22"/>
          <w:lang w:val="fr-BE" w:eastAsia="fr-FR"/>
        </w:rPr>
        <w:t xml:space="preserve">. </w:t>
      </w:r>
      <w:r w:rsidR="00757EDC" w:rsidRPr="00757EDC">
        <w:rPr>
          <w:rFonts w:asciiTheme="majorBidi" w:hAnsiTheme="majorBidi" w:cstheme="majorBidi"/>
          <w:sz w:val="22"/>
          <w:szCs w:val="22"/>
          <w:lang w:eastAsia="fr-FR" w:bidi="he-IL"/>
        </w:rPr>
        <w:t>Le site échantillonné (palmeraie de Laghrous) est située entre 34°41' de latitude Nord et 5°15' de longitude Est</w:t>
      </w:r>
      <w:r w:rsidR="00757EDC" w:rsidRPr="00757EDC">
        <w:rPr>
          <w:rFonts w:asciiTheme="majorBidi" w:hAnsiTheme="majorBidi" w:cstheme="majorBidi"/>
          <w:sz w:val="22"/>
          <w:szCs w:val="22"/>
          <w:lang w:eastAsia="fr-FR"/>
        </w:rPr>
        <w:t xml:space="preserve">. </w:t>
      </w:r>
    </w:p>
    <w:p w:rsidR="00757EDC" w:rsidRPr="00757EDC" w:rsidRDefault="00757EDC" w:rsidP="00757EDC">
      <w:pPr>
        <w:autoSpaceDE w:val="0"/>
        <w:autoSpaceDN w:val="0"/>
        <w:bidi w:val="0"/>
        <w:adjustRightInd w:val="0"/>
        <w:ind w:left="4" w:right="4" w:firstLine="280"/>
        <w:jc w:val="both"/>
        <w:rPr>
          <w:rFonts w:asciiTheme="majorBidi" w:hAnsiTheme="majorBidi" w:cstheme="majorBidi"/>
          <w:b/>
          <w:bCs/>
          <w:i/>
          <w:iCs/>
          <w:sz w:val="22"/>
          <w:szCs w:val="22"/>
          <w:lang w:eastAsia="fr-FR"/>
        </w:rPr>
      </w:pPr>
      <w:r w:rsidRPr="00757EDC">
        <w:rPr>
          <w:rFonts w:asciiTheme="majorBidi" w:hAnsiTheme="majorBidi" w:cstheme="majorBidi"/>
          <w:sz w:val="22"/>
          <w:szCs w:val="22"/>
          <w:lang w:eastAsia="fr-FR"/>
        </w:rPr>
        <w:t xml:space="preserve">Nous avons effectué un échantillonnage stratifié de plusieurs vergers selon leurs âges (hauteurs), où on distingue des palmeraies jeunes (10 à 20 ans), d’âge moyen (20 à 40 ans) ou vieilles (plus de 40 ans). Pour chaque verger, nous avons effectué une recherche systématique des nids. Sur une superficie de 51 hectares, 11 vergers ont été suivies durant trois saisons de reproduction. </w:t>
      </w:r>
    </w:p>
    <w:p w:rsidR="00757EDC" w:rsidRPr="00757EDC" w:rsidRDefault="00757EDC" w:rsidP="00757EDC">
      <w:pPr>
        <w:tabs>
          <w:tab w:val="left" w:pos="851"/>
        </w:tabs>
        <w:bidi w:val="0"/>
        <w:ind w:left="4" w:firstLine="280"/>
        <w:jc w:val="both"/>
        <w:rPr>
          <w:rFonts w:asciiTheme="majorBidi" w:hAnsiTheme="majorBidi" w:cstheme="majorBidi"/>
          <w:sz w:val="22"/>
          <w:szCs w:val="22"/>
        </w:rPr>
      </w:pPr>
      <w:r w:rsidRPr="00757EDC">
        <w:rPr>
          <w:rFonts w:asciiTheme="majorBidi" w:hAnsiTheme="majorBidi" w:cstheme="majorBidi"/>
          <w:sz w:val="22"/>
          <w:szCs w:val="22"/>
        </w:rPr>
        <w:t xml:space="preserve">Au cours de chaque période de reproduction (mars à juin), nous avons réalisé plusieurs partielles d’IPA (Indice Ponctuel d’Abondance) afin d’estimer le nombre des couples nicheurs par 10 hectares (Blondel et Frochot, 1970). Une fois le nid localisé, les informations suivantes seront recueillies : le numéro du nid, la date de la découverte du nid et la hauteur par rapport au sol, la grandeur de ponte, les mensurations des œufs en mesurant la masse par une balance électronique (précision 0.1g), la largeur (B) et la longueur (L) des œufs par un pied à coulisse (précision </w:t>
      </w:r>
      <w:smartTag w:uri="urn:schemas-microsoft-com:office:smarttags" w:element="metricconverter">
        <w:smartTagPr>
          <w:attr w:name="ProductID" w:val="0,1 mm"/>
        </w:smartTagPr>
        <w:r w:rsidRPr="00757EDC">
          <w:rPr>
            <w:rFonts w:asciiTheme="majorBidi" w:hAnsiTheme="majorBidi" w:cstheme="majorBidi"/>
            <w:sz w:val="22"/>
            <w:szCs w:val="22"/>
          </w:rPr>
          <w:t>0,1 mm</w:t>
        </w:r>
      </w:smartTag>
      <w:r w:rsidRPr="00757EDC">
        <w:rPr>
          <w:rFonts w:asciiTheme="majorBidi" w:hAnsiTheme="majorBidi" w:cstheme="majorBidi"/>
          <w:sz w:val="22"/>
          <w:szCs w:val="22"/>
        </w:rPr>
        <w:t>), afin d’estimer le volume par la formule d’Hoyt (1979) : V = 0.51*L*B</w:t>
      </w:r>
      <w:r w:rsidRPr="00757EDC">
        <w:rPr>
          <w:rFonts w:asciiTheme="majorBidi" w:hAnsiTheme="majorBidi" w:cstheme="majorBidi"/>
          <w:sz w:val="22"/>
          <w:szCs w:val="22"/>
          <w:vertAlign w:val="superscript"/>
        </w:rPr>
        <w:t>2</w:t>
      </w:r>
      <w:r w:rsidRPr="00757EDC">
        <w:rPr>
          <w:rFonts w:asciiTheme="majorBidi" w:hAnsiTheme="majorBidi" w:cstheme="majorBidi"/>
          <w:sz w:val="22"/>
          <w:szCs w:val="22"/>
        </w:rPr>
        <w:t xml:space="preserve"> et l’indice de forme B/L*100. Les statistiques descriptives, les analyses de variance et les différentes corrélations sont calculées par STATISTIX-8. </w:t>
      </w:r>
    </w:p>
    <w:p w:rsidR="00757EDC" w:rsidRDefault="00757EDC" w:rsidP="00757EDC">
      <w:pPr>
        <w:bidi w:val="0"/>
        <w:rPr>
          <w:rFonts w:asciiTheme="majorBidi" w:eastAsia="Calibri" w:hAnsiTheme="majorBidi" w:cstheme="majorBidi"/>
          <w:b/>
          <w:bCs/>
          <w:sz w:val="22"/>
          <w:szCs w:val="22"/>
        </w:rPr>
      </w:pPr>
    </w:p>
    <w:p w:rsidR="00757EDC" w:rsidRPr="00757EDC" w:rsidRDefault="00757EDC" w:rsidP="00757EDC">
      <w:pPr>
        <w:bidi w:val="0"/>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3. RESULTATS</w:t>
      </w:r>
    </w:p>
    <w:p w:rsidR="00757EDC" w:rsidRPr="00757EDC" w:rsidRDefault="00757EDC" w:rsidP="004859C0">
      <w:pPr>
        <w:bidi w:val="0"/>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3.1. Densité et hauteur des nids</w:t>
      </w:r>
    </w:p>
    <w:p w:rsidR="00757EDC" w:rsidRDefault="006070F5" w:rsidP="004859C0">
      <w:pPr>
        <w:bidi w:val="0"/>
        <w:ind w:firstLine="284"/>
        <w:jc w:val="both"/>
        <w:rPr>
          <w:rFonts w:asciiTheme="majorBidi" w:eastAsia="Calibri" w:hAnsiTheme="majorBidi" w:cstheme="majorBidi"/>
          <w:sz w:val="22"/>
          <w:szCs w:val="22"/>
        </w:rPr>
      </w:pPr>
      <w:r>
        <w:rPr>
          <w:rFonts w:asciiTheme="majorBidi" w:eastAsia="Calibri" w:hAnsiTheme="majorBidi" w:cstheme="majorBidi"/>
          <w:sz w:val="22"/>
          <w:szCs w:val="22"/>
        </w:rPr>
        <w:t xml:space="preserve">  </w:t>
      </w:r>
      <w:r w:rsidR="00757EDC" w:rsidRPr="00757EDC">
        <w:rPr>
          <w:rFonts w:asciiTheme="majorBidi" w:eastAsia="Calibri" w:hAnsiTheme="majorBidi" w:cstheme="majorBidi"/>
          <w:sz w:val="22"/>
          <w:szCs w:val="22"/>
        </w:rPr>
        <w:t xml:space="preserve">La densité des couples du Merle noir est en moyenne de 2,3 couples/10ha, elle varie de 1,6 à 2,9 d’une année à l’autre. Elle est plus élevée dans la palmeraie d’âge moyen que la jeune et la vieille palmeraie. La hauteur des nids par rapport au sol du Merle noir est en moyenne de 3,15m. Elle varie de 2,43 à 3,90m en moyenne entre 2007 et 2009 (Tab. 1).  </w:t>
      </w:r>
    </w:p>
    <w:p w:rsidR="00757EDC" w:rsidRPr="00757EDC" w:rsidRDefault="00757EDC" w:rsidP="00757EDC">
      <w:pPr>
        <w:bidi w:val="0"/>
        <w:jc w:val="both"/>
        <w:rPr>
          <w:rFonts w:asciiTheme="majorBidi" w:eastAsia="Calibri" w:hAnsiTheme="majorBidi" w:cstheme="majorBidi"/>
          <w:sz w:val="22"/>
          <w:szCs w:val="22"/>
        </w:rPr>
      </w:pPr>
    </w:p>
    <w:p w:rsidR="008757CD" w:rsidRDefault="006070F5" w:rsidP="00757EDC">
      <w:pPr>
        <w:bidi w:val="0"/>
        <w:jc w:val="both"/>
        <w:rPr>
          <w:rFonts w:asciiTheme="majorBidi" w:eastAsia="Calibri" w:hAnsiTheme="majorBidi" w:cstheme="majorBidi"/>
          <w:bCs/>
          <w:sz w:val="20"/>
          <w:szCs w:val="20"/>
          <w:lang w:bidi="ar-DZ"/>
        </w:rPr>
      </w:pPr>
      <w:r>
        <w:rPr>
          <w:rFonts w:asciiTheme="majorBidi" w:eastAsia="Calibri" w:hAnsiTheme="majorBidi" w:cstheme="majorBidi"/>
          <w:b/>
          <w:bCs/>
          <w:sz w:val="20"/>
          <w:szCs w:val="20"/>
          <w:lang w:bidi="ar-DZ"/>
        </w:rPr>
        <w:t>Tableau 1 :</w:t>
      </w:r>
      <w:r w:rsidR="00757EDC" w:rsidRPr="00757EDC">
        <w:rPr>
          <w:rFonts w:asciiTheme="majorBidi" w:eastAsia="Calibri" w:hAnsiTheme="majorBidi" w:cstheme="majorBidi"/>
          <w:b/>
          <w:bCs/>
          <w:sz w:val="20"/>
          <w:szCs w:val="20"/>
          <w:lang w:bidi="ar-DZ"/>
        </w:rPr>
        <w:t xml:space="preserve"> </w:t>
      </w:r>
      <w:r w:rsidR="00757EDC" w:rsidRPr="006070F5">
        <w:rPr>
          <w:rFonts w:asciiTheme="majorBidi" w:eastAsia="Calibri" w:hAnsiTheme="majorBidi" w:cstheme="majorBidi"/>
          <w:bCs/>
          <w:sz w:val="20"/>
          <w:szCs w:val="20"/>
          <w:lang w:bidi="ar-DZ"/>
        </w:rPr>
        <w:t xml:space="preserve">Densité moyenne des couples/10ha et hauteur par rapport au sol des nids du Merle noir dans les palmerais de Biskra </w:t>
      </w:r>
    </w:p>
    <w:p w:rsidR="00757EDC" w:rsidRPr="008757CD" w:rsidRDefault="00757EDC" w:rsidP="008757CD">
      <w:pPr>
        <w:bidi w:val="0"/>
        <w:jc w:val="both"/>
        <w:rPr>
          <w:rFonts w:asciiTheme="majorBidi" w:eastAsia="Calibri" w:hAnsiTheme="majorBidi" w:cstheme="majorBidi"/>
          <w:b/>
          <w:bCs/>
          <w:sz w:val="20"/>
          <w:szCs w:val="20"/>
          <w:lang w:val="en-US" w:bidi="ar-DZ"/>
        </w:rPr>
      </w:pPr>
      <w:r w:rsidRPr="008757CD">
        <w:rPr>
          <w:rFonts w:asciiTheme="majorBidi" w:eastAsia="Calibri" w:hAnsiTheme="majorBidi" w:cstheme="majorBidi"/>
          <w:bCs/>
          <w:sz w:val="20"/>
          <w:szCs w:val="20"/>
          <w:lang w:val="en-US"/>
        </w:rPr>
        <w:t>[</w:t>
      </w:r>
      <w:r w:rsidRPr="008757CD">
        <w:rPr>
          <w:rFonts w:asciiTheme="majorBidi" w:eastAsia="Calibri" w:hAnsiTheme="majorBidi" w:cstheme="majorBidi"/>
          <w:bCs/>
          <w:i/>
          <w:iCs/>
          <w:sz w:val="20"/>
          <w:szCs w:val="20"/>
          <w:lang w:val="en-US" w:bidi="ar-DZ"/>
        </w:rPr>
        <w:t>Average density of the couples/10ha and height compared to the ground of the Blackbird nests in Biskra oasis</w:t>
      </w:r>
      <w:r w:rsidRPr="008757CD">
        <w:rPr>
          <w:rFonts w:asciiTheme="majorBidi" w:eastAsia="Calibri" w:hAnsiTheme="majorBidi" w:cstheme="majorBidi"/>
          <w:bCs/>
          <w:sz w:val="20"/>
          <w:szCs w:val="20"/>
          <w:lang w:val="en-US"/>
        </w:rPr>
        <w:t>]</w:t>
      </w:r>
    </w:p>
    <w:tbl>
      <w:tblPr>
        <w:tblStyle w:val="Ombrageclair1"/>
        <w:tblW w:w="5000" w:type="pct"/>
        <w:jc w:val="center"/>
        <w:tblCellMar>
          <w:left w:w="57" w:type="dxa"/>
          <w:right w:w="28" w:type="dxa"/>
        </w:tblCellMar>
        <w:tblLook w:val="00A0"/>
      </w:tblPr>
      <w:tblGrid>
        <w:gridCol w:w="2670"/>
        <w:gridCol w:w="1297"/>
        <w:gridCol w:w="1297"/>
        <w:gridCol w:w="1298"/>
        <w:gridCol w:w="1297"/>
        <w:gridCol w:w="1298"/>
      </w:tblGrid>
      <w:tr w:rsidR="00DD59A4" w:rsidRPr="00757EDC" w:rsidTr="00DD59A4">
        <w:trPr>
          <w:cnfStyle w:val="100000000000"/>
          <w:jc w:val="center"/>
        </w:trPr>
        <w:tc>
          <w:tcPr>
            <w:cnfStyle w:val="001000000000"/>
            <w:tcW w:w="1458" w:type="pct"/>
            <w:shd w:val="clear" w:color="auto" w:fill="auto"/>
          </w:tcPr>
          <w:p w:rsidR="00757EDC" w:rsidRPr="00757EDC" w:rsidRDefault="00757EDC" w:rsidP="00757EDC">
            <w:pPr>
              <w:bidi w:val="0"/>
              <w:jc w:val="lowKashida"/>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 xml:space="preserve">Paramètres </w:t>
            </w: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Années</w:t>
            </w:r>
          </w:p>
        </w:tc>
        <w:tc>
          <w:tcPr>
            <w:tcW w:w="708" w:type="pct"/>
            <w:shd w:val="clear" w:color="auto" w:fill="auto"/>
            <w:vAlign w:val="center"/>
          </w:tcPr>
          <w:p w:rsidR="00757EDC" w:rsidRPr="00757EDC" w:rsidRDefault="00757EDC" w:rsidP="00DD59A4">
            <w:pPr>
              <w:bidi w:val="0"/>
              <w:jc w:val="center"/>
              <w:cnfStyle w:val="1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N</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M</w:t>
            </w:r>
          </w:p>
        </w:tc>
        <w:tc>
          <w:tcPr>
            <w:tcW w:w="708" w:type="pct"/>
            <w:shd w:val="clear" w:color="auto" w:fill="auto"/>
            <w:vAlign w:val="center"/>
          </w:tcPr>
          <w:p w:rsidR="00757EDC" w:rsidRPr="00757EDC" w:rsidRDefault="00757EDC" w:rsidP="00DD59A4">
            <w:pPr>
              <w:bidi w:val="0"/>
              <w:jc w:val="center"/>
              <w:cnfStyle w:val="1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Ecart-type</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Extrêmes</w:t>
            </w:r>
          </w:p>
        </w:tc>
      </w:tr>
      <w:tr w:rsidR="00DD59A4" w:rsidRPr="00757EDC" w:rsidTr="00DD59A4">
        <w:trPr>
          <w:cnfStyle w:val="000000100000"/>
          <w:jc w:val="center"/>
        </w:trPr>
        <w:tc>
          <w:tcPr>
            <w:cnfStyle w:val="001000000000"/>
            <w:tcW w:w="1458" w:type="pct"/>
            <w:vMerge w:val="restart"/>
            <w:shd w:val="clear" w:color="auto" w:fill="auto"/>
            <w:vAlign w:val="center"/>
          </w:tcPr>
          <w:p w:rsidR="00757EDC" w:rsidRPr="00757EDC" w:rsidRDefault="00757EDC" w:rsidP="004859C0">
            <w:pPr>
              <w:bidi w:val="0"/>
              <w:rPr>
                <w:rFonts w:asciiTheme="majorBidi" w:eastAsia="Calibri" w:hAnsiTheme="majorBidi" w:cstheme="majorBidi"/>
                <w:b w:val="0"/>
                <w:bCs w:val="0"/>
                <w:sz w:val="20"/>
                <w:szCs w:val="20"/>
                <w:lang w:bidi="ar-DZ"/>
              </w:rPr>
            </w:pPr>
            <w:r w:rsidRPr="00757EDC">
              <w:rPr>
                <w:rFonts w:asciiTheme="majorBidi" w:eastAsia="Calibri" w:hAnsiTheme="majorBidi" w:cstheme="majorBidi"/>
                <w:b w:val="0"/>
                <w:bCs w:val="0"/>
                <w:sz w:val="20"/>
                <w:szCs w:val="20"/>
                <w:lang w:bidi="ar-DZ"/>
              </w:rPr>
              <w:t>Densité (couples/10ha)</w:t>
            </w: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2007</w:t>
            </w:r>
          </w:p>
        </w:tc>
        <w:tc>
          <w:tcPr>
            <w:tcW w:w="708" w:type="pct"/>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6</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2,9</w:t>
            </w:r>
          </w:p>
        </w:tc>
        <w:tc>
          <w:tcPr>
            <w:tcW w:w="708" w:type="pct"/>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1,9</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0,5 –6,7</w:t>
            </w:r>
          </w:p>
        </w:tc>
      </w:tr>
      <w:tr w:rsidR="00DD59A4" w:rsidRPr="00757EDC" w:rsidTr="00DD59A4">
        <w:trPr>
          <w:jc w:val="center"/>
        </w:trPr>
        <w:tc>
          <w:tcPr>
            <w:cnfStyle w:val="001000000000"/>
            <w:tcW w:w="1458" w:type="pct"/>
            <w:vMerge/>
            <w:shd w:val="clear" w:color="auto" w:fill="auto"/>
            <w:vAlign w:val="center"/>
          </w:tcPr>
          <w:p w:rsidR="00757EDC" w:rsidRPr="00757EDC" w:rsidRDefault="00757EDC" w:rsidP="004859C0">
            <w:pPr>
              <w:bidi w:val="0"/>
              <w:rPr>
                <w:rFonts w:asciiTheme="majorBidi" w:eastAsia="Calibri" w:hAnsiTheme="majorBidi" w:cstheme="majorBidi"/>
                <w:b w:val="0"/>
                <w:bCs w:val="0"/>
                <w:sz w:val="20"/>
                <w:szCs w:val="20"/>
                <w:lang w:bidi="ar-DZ"/>
              </w:rPr>
            </w:pP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2008</w:t>
            </w:r>
          </w:p>
        </w:tc>
        <w:tc>
          <w:tcPr>
            <w:tcW w:w="708" w:type="pct"/>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4</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1,6</w:t>
            </w:r>
          </w:p>
        </w:tc>
        <w:tc>
          <w:tcPr>
            <w:tcW w:w="708" w:type="pct"/>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1,5</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 – 6,7</w:t>
            </w:r>
          </w:p>
        </w:tc>
      </w:tr>
      <w:tr w:rsidR="00DD59A4" w:rsidRPr="00757EDC" w:rsidTr="00DD59A4">
        <w:trPr>
          <w:cnfStyle w:val="000000100000"/>
          <w:jc w:val="center"/>
        </w:trPr>
        <w:tc>
          <w:tcPr>
            <w:cnfStyle w:val="001000000000"/>
            <w:tcW w:w="1458" w:type="pct"/>
            <w:vMerge/>
            <w:shd w:val="clear" w:color="auto" w:fill="auto"/>
            <w:vAlign w:val="center"/>
          </w:tcPr>
          <w:p w:rsidR="00757EDC" w:rsidRPr="00757EDC" w:rsidRDefault="00757EDC" w:rsidP="004859C0">
            <w:pPr>
              <w:bidi w:val="0"/>
              <w:rPr>
                <w:rFonts w:asciiTheme="majorBidi" w:eastAsia="Calibri" w:hAnsiTheme="majorBidi" w:cstheme="majorBidi"/>
                <w:b w:val="0"/>
                <w:bCs w:val="0"/>
                <w:sz w:val="20"/>
                <w:szCs w:val="20"/>
                <w:lang w:bidi="ar-DZ"/>
              </w:rPr>
            </w:pP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2009</w:t>
            </w:r>
          </w:p>
        </w:tc>
        <w:tc>
          <w:tcPr>
            <w:tcW w:w="708" w:type="pct"/>
            <w:tcBorders>
              <w:bottom w:val="nil"/>
            </w:tcBorders>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6</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w:t>
            </w:r>
          </w:p>
        </w:tc>
        <w:tc>
          <w:tcPr>
            <w:tcW w:w="708" w:type="pct"/>
            <w:tcBorders>
              <w:bottom w:val="nil"/>
            </w:tcBorders>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2,8</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 – 10</w:t>
            </w:r>
          </w:p>
        </w:tc>
      </w:tr>
      <w:tr w:rsidR="00DD59A4" w:rsidRPr="00757EDC" w:rsidTr="00DD59A4">
        <w:trPr>
          <w:jc w:val="center"/>
        </w:trPr>
        <w:tc>
          <w:tcPr>
            <w:cnfStyle w:val="001000000000"/>
            <w:tcW w:w="1458" w:type="pct"/>
            <w:vMerge/>
            <w:tcBorders>
              <w:bottom w:val="single" w:sz="4" w:space="0" w:color="auto"/>
            </w:tcBorders>
            <w:shd w:val="clear" w:color="auto" w:fill="auto"/>
            <w:vAlign w:val="center"/>
          </w:tcPr>
          <w:p w:rsidR="00757EDC" w:rsidRPr="00757EDC" w:rsidRDefault="00757EDC" w:rsidP="004859C0">
            <w:pPr>
              <w:bidi w:val="0"/>
              <w:rPr>
                <w:rFonts w:asciiTheme="majorBidi" w:eastAsia="Calibri" w:hAnsiTheme="majorBidi" w:cstheme="majorBidi"/>
                <w:b w:val="0"/>
                <w:bCs w:val="0"/>
                <w:sz w:val="20"/>
                <w:szCs w:val="20"/>
                <w:lang w:bidi="ar-DZ"/>
              </w:rPr>
            </w:pPr>
          </w:p>
        </w:tc>
        <w:tc>
          <w:tcPr>
            <w:cnfStyle w:val="000010000000"/>
            <w:tcW w:w="708" w:type="pct"/>
            <w:tcBorders>
              <w:bottom w:val="single" w:sz="4" w:space="0" w:color="auto"/>
            </w:tcBorders>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Moyenne</w:t>
            </w:r>
          </w:p>
        </w:tc>
        <w:tc>
          <w:tcPr>
            <w:tcW w:w="708" w:type="pct"/>
            <w:tcBorders>
              <w:top w:val="nil"/>
              <w:bottom w:val="single" w:sz="4" w:space="0" w:color="auto"/>
            </w:tcBorders>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16</w:t>
            </w:r>
          </w:p>
        </w:tc>
        <w:tc>
          <w:tcPr>
            <w:cnfStyle w:val="000010000000"/>
            <w:tcW w:w="709" w:type="pct"/>
            <w:tcBorders>
              <w:top w:val="nil"/>
              <w:bottom w:val="single" w:sz="4" w:space="0" w:color="auto"/>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2,3</w:t>
            </w:r>
          </w:p>
        </w:tc>
        <w:tc>
          <w:tcPr>
            <w:tcW w:w="708" w:type="pct"/>
            <w:tcBorders>
              <w:top w:val="nil"/>
              <w:bottom w:val="single" w:sz="4" w:space="0" w:color="auto"/>
            </w:tcBorders>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1,3</w:t>
            </w:r>
          </w:p>
        </w:tc>
        <w:tc>
          <w:tcPr>
            <w:cnfStyle w:val="000010000000"/>
            <w:tcW w:w="709" w:type="pct"/>
            <w:tcBorders>
              <w:top w:val="nil"/>
              <w:bottom w:val="single" w:sz="4" w:space="0" w:color="auto"/>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 – 10</w:t>
            </w:r>
          </w:p>
        </w:tc>
      </w:tr>
      <w:tr w:rsidR="00DD59A4" w:rsidRPr="00757EDC" w:rsidTr="00DD59A4">
        <w:trPr>
          <w:cnfStyle w:val="000000100000"/>
          <w:jc w:val="center"/>
        </w:trPr>
        <w:tc>
          <w:tcPr>
            <w:cnfStyle w:val="001000000000"/>
            <w:tcW w:w="1458" w:type="pct"/>
            <w:vMerge w:val="restart"/>
            <w:tcBorders>
              <w:top w:val="single" w:sz="4" w:space="0" w:color="auto"/>
              <w:bottom w:val="nil"/>
            </w:tcBorders>
            <w:shd w:val="clear" w:color="auto" w:fill="auto"/>
            <w:vAlign w:val="center"/>
          </w:tcPr>
          <w:p w:rsidR="00757EDC" w:rsidRPr="00757EDC" w:rsidRDefault="00757EDC" w:rsidP="004859C0">
            <w:pPr>
              <w:bidi w:val="0"/>
              <w:rPr>
                <w:rFonts w:asciiTheme="majorBidi" w:eastAsia="Calibri" w:hAnsiTheme="majorBidi" w:cstheme="majorBidi"/>
                <w:b w:val="0"/>
                <w:bCs w:val="0"/>
                <w:sz w:val="20"/>
                <w:szCs w:val="20"/>
                <w:lang w:bidi="ar-DZ"/>
              </w:rPr>
            </w:pPr>
            <w:r w:rsidRPr="00757EDC">
              <w:rPr>
                <w:rFonts w:asciiTheme="majorBidi" w:eastAsia="Calibri" w:hAnsiTheme="majorBidi" w:cstheme="majorBidi"/>
                <w:b w:val="0"/>
                <w:bCs w:val="0"/>
                <w:sz w:val="20"/>
                <w:szCs w:val="20"/>
                <w:lang w:bidi="ar-DZ"/>
              </w:rPr>
              <w:t>Hauteur des nids (m)</w:t>
            </w:r>
          </w:p>
        </w:tc>
        <w:tc>
          <w:tcPr>
            <w:cnfStyle w:val="000010000000"/>
            <w:tcW w:w="708" w:type="pct"/>
            <w:tcBorders>
              <w:top w:val="single" w:sz="4" w:space="0" w:color="auto"/>
            </w:tcBorders>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2007</w:t>
            </w:r>
          </w:p>
        </w:tc>
        <w:tc>
          <w:tcPr>
            <w:tcW w:w="708" w:type="pct"/>
            <w:tcBorders>
              <w:top w:val="single" w:sz="4" w:space="0" w:color="auto"/>
              <w:bottom w:val="nil"/>
            </w:tcBorders>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10</w:t>
            </w:r>
          </w:p>
        </w:tc>
        <w:tc>
          <w:tcPr>
            <w:cnfStyle w:val="000010000000"/>
            <w:tcW w:w="709" w:type="pct"/>
            <w:tcBorders>
              <w:top w:val="single" w:sz="4" w:space="0" w:color="auto"/>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2,43</w:t>
            </w:r>
          </w:p>
        </w:tc>
        <w:tc>
          <w:tcPr>
            <w:tcW w:w="708" w:type="pct"/>
            <w:tcBorders>
              <w:top w:val="single" w:sz="4" w:space="0" w:color="auto"/>
              <w:bottom w:val="nil"/>
            </w:tcBorders>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1,21</w:t>
            </w:r>
          </w:p>
        </w:tc>
        <w:tc>
          <w:tcPr>
            <w:cnfStyle w:val="000010000000"/>
            <w:tcW w:w="709" w:type="pct"/>
            <w:tcBorders>
              <w:top w:val="single" w:sz="4" w:space="0" w:color="auto"/>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0,9 – 4,5</w:t>
            </w:r>
          </w:p>
        </w:tc>
      </w:tr>
      <w:tr w:rsidR="00DD59A4" w:rsidRPr="00757EDC" w:rsidTr="00DD59A4">
        <w:trPr>
          <w:jc w:val="center"/>
        </w:trPr>
        <w:tc>
          <w:tcPr>
            <w:cnfStyle w:val="001000000000"/>
            <w:tcW w:w="1458" w:type="pct"/>
            <w:vMerge/>
            <w:tcBorders>
              <w:top w:val="nil"/>
            </w:tcBorders>
            <w:shd w:val="clear" w:color="auto" w:fill="auto"/>
          </w:tcPr>
          <w:p w:rsidR="00757EDC" w:rsidRPr="00757EDC" w:rsidRDefault="00757EDC" w:rsidP="00757EDC">
            <w:pPr>
              <w:bidi w:val="0"/>
              <w:jc w:val="lowKashida"/>
              <w:rPr>
                <w:rFonts w:asciiTheme="majorBidi" w:eastAsia="Calibri" w:hAnsiTheme="majorBidi" w:cstheme="majorBidi"/>
                <w:b w:val="0"/>
                <w:bCs w:val="0"/>
                <w:sz w:val="20"/>
                <w:szCs w:val="20"/>
                <w:lang w:bidi="ar-DZ"/>
              </w:rPr>
            </w:pPr>
          </w:p>
        </w:tc>
        <w:tc>
          <w:tcPr>
            <w:cnfStyle w:val="000010000000"/>
            <w:tcW w:w="708" w:type="pct"/>
            <w:tcBorders>
              <w:top w:val="nil"/>
            </w:tcBorders>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2008</w:t>
            </w:r>
          </w:p>
        </w:tc>
        <w:tc>
          <w:tcPr>
            <w:tcW w:w="708" w:type="pct"/>
            <w:tcBorders>
              <w:top w:val="nil"/>
            </w:tcBorders>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17</w:t>
            </w:r>
          </w:p>
        </w:tc>
        <w:tc>
          <w:tcPr>
            <w:cnfStyle w:val="000010000000"/>
            <w:tcW w:w="709" w:type="pct"/>
            <w:tcBorders>
              <w:top w:val="nil"/>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3,90</w:t>
            </w:r>
          </w:p>
        </w:tc>
        <w:tc>
          <w:tcPr>
            <w:tcW w:w="708" w:type="pct"/>
            <w:tcBorders>
              <w:top w:val="nil"/>
            </w:tcBorders>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1,72</w:t>
            </w:r>
          </w:p>
        </w:tc>
        <w:tc>
          <w:tcPr>
            <w:cnfStyle w:val="000010000000"/>
            <w:tcW w:w="709" w:type="pct"/>
            <w:tcBorders>
              <w:top w:val="nil"/>
            </w:tcBorders>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1,73 – 7</w:t>
            </w:r>
          </w:p>
        </w:tc>
      </w:tr>
      <w:tr w:rsidR="00DD59A4" w:rsidRPr="00757EDC" w:rsidTr="00DD59A4">
        <w:trPr>
          <w:cnfStyle w:val="000000100000"/>
          <w:jc w:val="center"/>
        </w:trPr>
        <w:tc>
          <w:tcPr>
            <w:cnfStyle w:val="001000000000"/>
            <w:tcW w:w="1458" w:type="pct"/>
            <w:vMerge/>
            <w:shd w:val="clear" w:color="auto" w:fill="auto"/>
          </w:tcPr>
          <w:p w:rsidR="00757EDC" w:rsidRPr="00757EDC" w:rsidRDefault="00757EDC" w:rsidP="00757EDC">
            <w:pPr>
              <w:bidi w:val="0"/>
              <w:jc w:val="lowKashida"/>
              <w:rPr>
                <w:rFonts w:asciiTheme="majorBidi" w:eastAsia="Calibri" w:hAnsiTheme="majorBidi" w:cstheme="majorBidi"/>
                <w:b w:val="0"/>
                <w:bCs w:val="0"/>
                <w:sz w:val="20"/>
                <w:szCs w:val="20"/>
                <w:lang w:bidi="ar-DZ"/>
              </w:rPr>
            </w:pP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2009</w:t>
            </w:r>
          </w:p>
        </w:tc>
        <w:tc>
          <w:tcPr>
            <w:tcW w:w="708" w:type="pct"/>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16</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2,70</w:t>
            </w:r>
          </w:p>
        </w:tc>
        <w:tc>
          <w:tcPr>
            <w:tcW w:w="708" w:type="pct"/>
            <w:shd w:val="clear" w:color="auto" w:fill="auto"/>
            <w:vAlign w:val="center"/>
          </w:tcPr>
          <w:p w:rsidR="00757EDC" w:rsidRPr="00757EDC" w:rsidRDefault="00757EDC" w:rsidP="00DD59A4">
            <w:pPr>
              <w:bidi w:val="0"/>
              <w:jc w:val="center"/>
              <w:cnfStyle w:val="0000001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1,31</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0,7 – 6</w:t>
            </w:r>
          </w:p>
        </w:tc>
      </w:tr>
      <w:tr w:rsidR="00DD59A4" w:rsidRPr="00757EDC" w:rsidTr="00DD59A4">
        <w:trPr>
          <w:jc w:val="center"/>
        </w:trPr>
        <w:tc>
          <w:tcPr>
            <w:cnfStyle w:val="001000000000"/>
            <w:tcW w:w="1458" w:type="pct"/>
            <w:vMerge/>
            <w:shd w:val="clear" w:color="auto" w:fill="auto"/>
          </w:tcPr>
          <w:p w:rsidR="00757EDC" w:rsidRPr="00757EDC" w:rsidRDefault="00757EDC" w:rsidP="00757EDC">
            <w:pPr>
              <w:bidi w:val="0"/>
              <w:jc w:val="lowKashida"/>
              <w:rPr>
                <w:rFonts w:asciiTheme="majorBidi" w:eastAsia="Calibri" w:hAnsiTheme="majorBidi" w:cstheme="majorBidi"/>
                <w:b w:val="0"/>
                <w:bCs w:val="0"/>
                <w:sz w:val="20"/>
                <w:szCs w:val="20"/>
                <w:lang w:bidi="ar-DZ"/>
              </w:rPr>
            </w:pPr>
          </w:p>
        </w:tc>
        <w:tc>
          <w:tcPr>
            <w:cnfStyle w:val="000010000000"/>
            <w:tcW w:w="708" w:type="pct"/>
            <w:shd w:val="clear" w:color="auto" w:fill="auto"/>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Moyenne</w:t>
            </w:r>
          </w:p>
        </w:tc>
        <w:tc>
          <w:tcPr>
            <w:tcW w:w="708" w:type="pct"/>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43</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3,15</w:t>
            </w:r>
          </w:p>
        </w:tc>
        <w:tc>
          <w:tcPr>
            <w:tcW w:w="708" w:type="pct"/>
            <w:shd w:val="clear" w:color="auto" w:fill="auto"/>
            <w:vAlign w:val="center"/>
          </w:tcPr>
          <w:p w:rsidR="00757EDC" w:rsidRPr="00757EDC" w:rsidRDefault="00757EDC" w:rsidP="00DD59A4">
            <w:pPr>
              <w:bidi w:val="0"/>
              <w:jc w:val="center"/>
              <w:cnfStyle w:val="000000000000"/>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1,63</w:t>
            </w:r>
          </w:p>
        </w:tc>
        <w:tc>
          <w:tcPr>
            <w:cnfStyle w:val="000010000000"/>
            <w:tcW w:w="709" w:type="pct"/>
            <w:shd w:val="clear" w:color="auto" w:fill="auto"/>
            <w:vAlign w:val="center"/>
          </w:tcPr>
          <w:p w:rsidR="00757EDC" w:rsidRPr="00757EDC" w:rsidRDefault="00757EDC" w:rsidP="00DD59A4">
            <w:pPr>
              <w:bidi w:val="0"/>
              <w:jc w:val="center"/>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0,7 – 7</w:t>
            </w:r>
          </w:p>
        </w:tc>
      </w:tr>
    </w:tbl>
    <w:p w:rsidR="00757EDC" w:rsidRPr="00757EDC" w:rsidRDefault="00757EDC" w:rsidP="00757EDC">
      <w:pPr>
        <w:bidi w:val="0"/>
        <w:rPr>
          <w:rFonts w:asciiTheme="majorBidi" w:eastAsia="Calibri" w:hAnsiTheme="majorBidi" w:cstheme="majorBidi"/>
          <w:sz w:val="22"/>
          <w:szCs w:val="22"/>
        </w:rPr>
      </w:pPr>
    </w:p>
    <w:p w:rsidR="00757EDC" w:rsidRPr="00757EDC" w:rsidRDefault="00757EDC" w:rsidP="00757EDC">
      <w:pPr>
        <w:bidi w:val="0"/>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 xml:space="preserve">3.2. Date et période de ponte </w:t>
      </w:r>
    </w:p>
    <w:p w:rsidR="004859C0" w:rsidRDefault="006070F5" w:rsidP="004859C0">
      <w:pPr>
        <w:bidi w:val="0"/>
        <w:ind w:firstLine="284"/>
        <w:jc w:val="both"/>
        <w:rPr>
          <w:rFonts w:asciiTheme="majorBidi" w:eastAsia="Calibri" w:hAnsiTheme="majorBidi" w:cstheme="majorBidi"/>
          <w:sz w:val="22"/>
          <w:szCs w:val="22"/>
        </w:rPr>
      </w:pPr>
      <w:r>
        <w:rPr>
          <w:rFonts w:asciiTheme="majorBidi" w:eastAsia="Calibri" w:hAnsiTheme="majorBidi" w:cstheme="majorBidi"/>
          <w:sz w:val="22"/>
          <w:szCs w:val="22"/>
        </w:rPr>
        <w:t xml:space="preserve">  </w:t>
      </w:r>
      <w:r w:rsidR="00757EDC" w:rsidRPr="00757EDC">
        <w:rPr>
          <w:rFonts w:asciiTheme="majorBidi" w:eastAsia="Calibri" w:hAnsiTheme="majorBidi" w:cstheme="majorBidi"/>
          <w:sz w:val="22"/>
          <w:szCs w:val="22"/>
        </w:rPr>
        <w:t xml:space="preserve">La ponte du Merle noir commence dés le début avril et s’étale vers le début juillet avec une fréquence maximale à la mi-avril. La date de ponte du Merle noir est discontinue au cours de la saison de la reproduction avec, éventuellement, plusieurs pontes annuelles (jusqu'à 3 pontes annuelles) </w:t>
      </w:r>
      <w:r w:rsidR="00757EDC" w:rsidRPr="00757EDC">
        <w:rPr>
          <w:rFonts w:asciiTheme="majorBidi" w:eastAsia="Calibri" w:hAnsiTheme="majorBidi" w:cstheme="majorBidi"/>
          <w:sz w:val="22"/>
          <w:szCs w:val="22"/>
        </w:rPr>
        <w:br/>
        <w:t xml:space="preserve">(Fig. 1).  </w:t>
      </w:r>
      <w:r w:rsidR="004859C0" w:rsidRPr="00757EDC">
        <w:rPr>
          <w:rFonts w:asciiTheme="majorBidi" w:eastAsia="Calibri" w:hAnsiTheme="majorBidi" w:cstheme="majorBidi"/>
          <w:sz w:val="22"/>
          <w:szCs w:val="22"/>
        </w:rPr>
        <w:t>La date de ponte du Merle noir est en moyenne le 18 avril avec une période maximale de 121 jours (2</w:t>
      </w:r>
      <w:r w:rsidR="004859C0" w:rsidRPr="00757EDC">
        <w:rPr>
          <w:rFonts w:asciiTheme="majorBidi" w:eastAsia="Calibri" w:hAnsiTheme="majorBidi" w:cstheme="majorBidi"/>
          <w:b/>
          <w:sz w:val="22"/>
          <w:szCs w:val="22"/>
        </w:rPr>
        <w:t xml:space="preserve"> </w:t>
      </w:r>
      <w:r w:rsidR="004859C0" w:rsidRPr="00757EDC">
        <w:rPr>
          <w:rFonts w:asciiTheme="majorBidi" w:eastAsia="Calibri" w:hAnsiTheme="majorBidi" w:cstheme="majorBidi"/>
          <w:sz w:val="22"/>
          <w:szCs w:val="22"/>
        </w:rPr>
        <w:t xml:space="preserve">Mars – 3 </w:t>
      </w:r>
      <w:r w:rsidR="004859C0" w:rsidRPr="00757EDC">
        <w:rPr>
          <w:rFonts w:asciiTheme="majorBidi" w:eastAsia="Calibri" w:hAnsiTheme="majorBidi" w:cstheme="majorBidi"/>
          <w:sz w:val="22"/>
          <w:szCs w:val="22"/>
          <w:lang w:bidi="ar-DZ"/>
        </w:rPr>
        <w:t>Juillet</w:t>
      </w:r>
      <w:r w:rsidR="004859C0" w:rsidRPr="00757EDC">
        <w:rPr>
          <w:rFonts w:asciiTheme="majorBidi" w:eastAsia="Calibri" w:hAnsiTheme="majorBidi" w:cstheme="majorBidi"/>
          <w:sz w:val="22"/>
          <w:szCs w:val="22"/>
        </w:rPr>
        <w:t>) et un écart-type moyen de 24 jours (Tab.2). La date moyenne de ponte ne varie pas d’une année à l’autre chez le Merle noir (F</w:t>
      </w:r>
      <w:r w:rsidR="004859C0" w:rsidRPr="00757EDC">
        <w:rPr>
          <w:rFonts w:asciiTheme="majorBidi" w:eastAsia="Calibri" w:hAnsiTheme="majorBidi" w:cstheme="majorBidi"/>
          <w:sz w:val="22"/>
          <w:szCs w:val="22"/>
          <w:vertAlign w:val="superscript"/>
        </w:rPr>
        <w:t>2,147</w:t>
      </w:r>
      <w:r w:rsidR="004859C0" w:rsidRPr="00757EDC">
        <w:rPr>
          <w:rFonts w:asciiTheme="majorBidi" w:eastAsia="Calibri" w:hAnsiTheme="majorBidi" w:cstheme="majorBidi"/>
          <w:sz w:val="22"/>
          <w:szCs w:val="22"/>
        </w:rPr>
        <w:t xml:space="preserve"> = 1,94 ; P = 0,1474 ns). </w:t>
      </w:r>
    </w:p>
    <w:p w:rsidR="004859C0" w:rsidRDefault="004859C0" w:rsidP="004859C0">
      <w:pPr>
        <w:bidi w:val="0"/>
        <w:jc w:val="both"/>
        <w:rPr>
          <w:rFonts w:asciiTheme="majorBidi" w:eastAsia="Calibri" w:hAnsiTheme="majorBidi" w:cstheme="majorBidi"/>
          <w:sz w:val="22"/>
          <w:szCs w:val="22"/>
        </w:rPr>
      </w:pPr>
    </w:p>
    <w:p w:rsidR="00DD59A4" w:rsidRPr="00757EDC" w:rsidRDefault="00DD59A4" w:rsidP="00DD59A4">
      <w:pPr>
        <w:bidi w:val="0"/>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 xml:space="preserve">3.3. Grandeur de ponte </w:t>
      </w:r>
    </w:p>
    <w:p w:rsidR="00DD59A4" w:rsidRDefault="006070F5" w:rsidP="00DD59A4">
      <w:pPr>
        <w:bidi w:val="0"/>
        <w:ind w:firstLine="284"/>
        <w:jc w:val="both"/>
        <w:rPr>
          <w:rFonts w:asciiTheme="majorBidi" w:eastAsia="Calibri" w:hAnsiTheme="majorBidi" w:cstheme="majorBidi"/>
          <w:sz w:val="22"/>
          <w:szCs w:val="22"/>
        </w:rPr>
      </w:pPr>
      <w:r>
        <w:rPr>
          <w:rFonts w:asciiTheme="majorBidi" w:eastAsia="Calibri" w:hAnsiTheme="majorBidi" w:cstheme="majorBidi"/>
          <w:sz w:val="22"/>
          <w:szCs w:val="22"/>
        </w:rPr>
        <w:t xml:space="preserve">  </w:t>
      </w:r>
      <w:r w:rsidR="00DD59A4" w:rsidRPr="00757EDC">
        <w:rPr>
          <w:rFonts w:asciiTheme="majorBidi" w:eastAsia="Calibri" w:hAnsiTheme="majorBidi" w:cstheme="majorBidi"/>
          <w:sz w:val="22"/>
          <w:szCs w:val="22"/>
        </w:rPr>
        <w:t>La grandeur de ponte chez le Merle noir est en moyenne de 3,15 œufs par couvée (Tab. 2), elle varie d’une couvée à l’autre  (2 à 4). La grandeur de ponte du Merle noir n’est pas significativement variable au cours des années (F</w:t>
      </w:r>
      <w:r w:rsidR="00DD59A4" w:rsidRPr="00757EDC">
        <w:rPr>
          <w:rFonts w:asciiTheme="majorBidi" w:eastAsia="Calibri" w:hAnsiTheme="majorBidi" w:cstheme="majorBidi"/>
          <w:sz w:val="22"/>
          <w:szCs w:val="22"/>
          <w:vertAlign w:val="superscript"/>
        </w:rPr>
        <w:t>2,45</w:t>
      </w:r>
      <w:r w:rsidR="00DD59A4" w:rsidRPr="00757EDC">
        <w:rPr>
          <w:rFonts w:asciiTheme="majorBidi" w:eastAsia="Calibri" w:hAnsiTheme="majorBidi" w:cstheme="majorBidi"/>
          <w:sz w:val="22"/>
          <w:szCs w:val="22"/>
        </w:rPr>
        <w:t xml:space="preserve"> = 0,59 ; P=0,5570 ns). </w:t>
      </w:r>
    </w:p>
    <w:p w:rsidR="004859C0" w:rsidRDefault="004859C0" w:rsidP="004859C0">
      <w:pPr>
        <w:bidi w:val="0"/>
        <w:jc w:val="both"/>
        <w:rPr>
          <w:rFonts w:asciiTheme="majorBidi" w:eastAsia="Calibri" w:hAnsiTheme="majorBidi" w:cstheme="majorBidi"/>
          <w:sz w:val="22"/>
          <w:szCs w:val="22"/>
        </w:rPr>
      </w:pPr>
    </w:p>
    <w:p w:rsidR="004859C0" w:rsidRDefault="00757EDC" w:rsidP="00757EDC">
      <w:pPr>
        <w:bidi w:val="0"/>
        <w:jc w:val="center"/>
        <w:rPr>
          <w:rFonts w:asciiTheme="majorBidi" w:eastAsia="Calibri" w:hAnsiTheme="majorBidi" w:cstheme="majorBidi"/>
          <w:sz w:val="22"/>
          <w:szCs w:val="22"/>
        </w:rPr>
      </w:pPr>
      <w:r w:rsidRPr="00757EDC">
        <w:rPr>
          <w:rFonts w:asciiTheme="majorBidi" w:eastAsia="Calibri" w:hAnsiTheme="majorBidi" w:cstheme="majorBidi"/>
          <w:noProof/>
          <w:sz w:val="22"/>
          <w:szCs w:val="22"/>
          <w:lang w:eastAsia="fr-FR"/>
        </w:rPr>
        <w:lastRenderedPageBreak/>
        <w:drawing>
          <wp:inline distT="0" distB="0" distL="0" distR="0">
            <wp:extent cx="5544000" cy="2822433"/>
            <wp:effectExtent l="19050" t="19050" r="18600" b="16017"/>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grayscl/>
                      <a:lum bright="-30000" contrast="50000"/>
                    </a:blip>
                    <a:srcRect t="6842" r="2199" b="5789"/>
                    <a:stretch>
                      <a:fillRect/>
                    </a:stretch>
                  </pic:blipFill>
                  <pic:spPr bwMode="auto">
                    <a:xfrm>
                      <a:off x="0" y="0"/>
                      <a:ext cx="5544000" cy="2822433"/>
                    </a:xfrm>
                    <a:prstGeom prst="rect">
                      <a:avLst/>
                    </a:prstGeom>
                    <a:noFill/>
                    <a:ln w="3175">
                      <a:solidFill>
                        <a:schemeClr val="tx1"/>
                      </a:solidFill>
                      <a:miter lim="800000"/>
                      <a:headEnd/>
                      <a:tailEnd/>
                    </a:ln>
                  </pic:spPr>
                </pic:pic>
              </a:graphicData>
            </a:graphic>
          </wp:inline>
        </w:drawing>
      </w:r>
    </w:p>
    <w:p w:rsidR="008757CD" w:rsidRDefault="00757EDC" w:rsidP="004859C0">
      <w:pPr>
        <w:bidi w:val="0"/>
        <w:jc w:val="both"/>
        <w:rPr>
          <w:rFonts w:asciiTheme="majorBidi" w:eastAsia="Calibri" w:hAnsiTheme="majorBidi" w:cstheme="majorBidi"/>
          <w:bCs/>
          <w:sz w:val="20"/>
          <w:szCs w:val="20"/>
        </w:rPr>
      </w:pPr>
      <w:r w:rsidRPr="00757EDC">
        <w:rPr>
          <w:rFonts w:asciiTheme="majorBidi" w:eastAsia="Calibri" w:hAnsiTheme="majorBidi" w:cstheme="majorBidi"/>
          <w:b/>
          <w:bCs/>
          <w:sz w:val="20"/>
          <w:szCs w:val="20"/>
        </w:rPr>
        <w:t xml:space="preserve">Figure 1 : </w:t>
      </w:r>
      <w:r w:rsidRPr="008757CD">
        <w:rPr>
          <w:rFonts w:asciiTheme="majorBidi" w:eastAsia="Calibri" w:hAnsiTheme="majorBidi" w:cstheme="majorBidi"/>
          <w:bCs/>
          <w:sz w:val="20"/>
          <w:szCs w:val="20"/>
        </w:rPr>
        <w:t xml:space="preserve">Chronologie de ponte du Merle noir dans les palmeraies des Zibans en 2008 </w:t>
      </w:r>
    </w:p>
    <w:p w:rsidR="00757EDC" w:rsidRPr="008757CD" w:rsidRDefault="008757CD" w:rsidP="008757CD">
      <w:pPr>
        <w:bidi w:val="0"/>
        <w:jc w:val="both"/>
        <w:rPr>
          <w:rFonts w:asciiTheme="majorBidi" w:eastAsia="Calibri" w:hAnsiTheme="majorBidi" w:cstheme="majorBidi"/>
          <w:b/>
          <w:bCs/>
          <w:sz w:val="20"/>
          <w:szCs w:val="20"/>
          <w:lang w:val="en-US"/>
        </w:rPr>
      </w:pPr>
      <w:r w:rsidRPr="00332319">
        <w:rPr>
          <w:rFonts w:asciiTheme="majorBidi" w:eastAsia="Calibri" w:hAnsiTheme="majorBidi" w:cstheme="majorBidi"/>
          <w:bCs/>
          <w:sz w:val="20"/>
          <w:szCs w:val="20"/>
        </w:rPr>
        <w:t xml:space="preserve">                  </w:t>
      </w:r>
      <w:r w:rsidR="00757EDC" w:rsidRPr="008757CD">
        <w:rPr>
          <w:rFonts w:asciiTheme="majorBidi" w:eastAsia="Calibri" w:hAnsiTheme="majorBidi" w:cstheme="majorBidi"/>
          <w:bCs/>
          <w:sz w:val="20"/>
          <w:szCs w:val="20"/>
          <w:lang w:val="en-US"/>
        </w:rPr>
        <w:t>[</w:t>
      </w:r>
      <w:r w:rsidR="00757EDC" w:rsidRPr="008757CD">
        <w:rPr>
          <w:rFonts w:asciiTheme="majorBidi" w:eastAsia="Calibri" w:hAnsiTheme="majorBidi" w:cstheme="majorBidi"/>
          <w:bCs/>
          <w:i/>
          <w:iCs/>
          <w:sz w:val="20"/>
          <w:szCs w:val="20"/>
          <w:lang w:val="en-US"/>
        </w:rPr>
        <w:t>Clutch chronology of the Blackbird in the Zibans oasis in 2008</w:t>
      </w:r>
      <w:r w:rsidR="00757EDC" w:rsidRPr="008757CD">
        <w:rPr>
          <w:rFonts w:asciiTheme="majorBidi" w:eastAsia="Calibri" w:hAnsiTheme="majorBidi" w:cstheme="majorBidi"/>
          <w:bCs/>
          <w:sz w:val="20"/>
          <w:szCs w:val="20"/>
          <w:lang w:val="en-US"/>
        </w:rPr>
        <w:t>]</w:t>
      </w:r>
      <w:r w:rsidR="004859C0" w:rsidRPr="008757CD">
        <w:rPr>
          <w:rFonts w:asciiTheme="majorBidi" w:eastAsia="Calibri" w:hAnsiTheme="majorBidi" w:cstheme="majorBidi"/>
          <w:b/>
          <w:bCs/>
          <w:sz w:val="20"/>
          <w:szCs w:val="20"/>
          <w:lang w:val="en-US"/>
        </w:rPr>
        <w:t xml:space="preserve"> </w:t>
      </w:r>
    </w:p>
    <w:p w:rsidR="004859C0" w:rsidRPr="008757CD" w:rsidRDefault="004859C0" w:rsidP="004859C0">
      <w:pPr>
        <w:bidi w:val="0"/>
        <w:rPr>
          <w:rFonts w:asciiTheme="majorBidi" w:eastAsia="Calibri" w:hAnsiTheme="majorBidi" w:cstheme="majorBidi"/>
          <w:b/>
          <w:bCs/>
          <w:sz w:val="22"/>
          <w:szCs w:val="22"/>
          <w:lang w:val="en-US"/>
        </w:rPr>
      </w:pPr>
    </w:p>
    <w:p w:rsidR="004859C0" w:rsidRPr="00757EDC" w:rsidRDefault="004859C0" w:rsidP="004859C0">
      <w:pPr>
        <w:bidi w:val="0"/>
        <w:jc w:val="both"/>
        <w:rPr>
          <w:rFonts w:asciiTheme="majorBidi" w:eastAsia="Calibri" w:hAnsiTheme="majorBidi" w:cstheme="majorBidi"/>
          <w:b/>
          <w:bCs/>
          <w:sz w:val="22"/>
          <w:szCs w:val="22"/>
          <w:lang w:bidi="ar-DZ"/>
        </w:rPr>
      </w:pPr>
      <w:r w:rsidRPr="00757EDC">
        <w:rPr>
          <w:rFonts w:asciiTheme="majorBidi" w:eastAsia="Calibri" w:hAnsiTheme="majorBidi" w:cstheme="majorBidi"/>
          <w:b/>
          <w:bCs/>
          <w:sz w:val="22"/>
          <w:szCs w:val="22"/>
          <w:lang w:bidi="ar-DZ"/>
        </w:rPr>
        <w:t xml:space="preserve">3.4. Traits des œufs </w:t>
      </w:r>
    </w:p>
    <w:p w:rsidR="004859C0" w:rsidRPr="00757EDC" w:rsidRDefault="006070F5" w:rsidP="00391D67">
      <w:pPr>
        <w:bidi w:val="0"/>
        <w:ind w:firstLine="284"/>
        <w:jc w:val="both"/>
        <w:rPr>
          <w:rFonts w:asciiTheme="majorBidi" w:eastAsia="Calibri" w:hAnsiTheme="majorBidi" w:cstheme="majorBidi"/>
          <w:sz w:val="22"/>
          <w:szCs w:val="22"/>
          <w:lang w:bidi="ar-DZ"/>
        </w:rPr>
      </w:pPr>
      <w:r>
        <w:rPr>
          <w:rFonts w:asciiTheme="majorBidi" w:eastAsia="Calibri" w:hAnsiTheme="majorBidi" w:cstheme="majorBidi"/>
          <w:bCs/>
          <w:sz w:val="22"/>
          <w:szCs w:val="22"/>
        </w:rPr>
        <w:t xml:space="preserve">  </w:t>
      </w:r>
      <w:r w:rsidR="004859C0" w:rsidRPr="00757EDC">
        <w:rPr>
          <w:rFonts w:asciiTheme="majorBidi" w:eastAsia="Calibri" w:hAnsiTheme="majorBidi" w:cstheme="majorBidi"/>
          <w:bCs/>
          <w:sz w:val="22"/>
          <w:szCs w:val="22"/>
        </w:rPr>
        <w:t xml:space="preserve">Les caractéristiques des œufs des </w:t>
      </w:r>
      <w:r w:rsidR="004859C0" w:rsidRPr="00757EDC">
        <w:rPr>
          <w:rFonts w:asciiTheme="majorBidi" w:eastAsia="Calibri" w:hAnsiTheme="majorBidi" w:cstheme="majorBidi"/>
          <w:bCs/>
          <w:i/>
          <w:iCs/>
          <w:sz w:val="22"/>
          <w:szCs w:val="22"/>
        </w:rPr>
        <w:t>Turdidae</w:t>
      </w:r>
      <w:r w:rsidR="004859C0" w:rsidRPr="00757EDC">
        <w:rPr>
          <w:rFonts w:asciiTheme="majorBidi" w:eastAsia="Calibri" w:hAnsiTheme="majorBidi" w:cstheme="majorBidi"/>
          <w:bCs/>
          <w:sz w:val="22"/>
          <w:szCs w:val="22"/>
        </w:rPr>
        <w:t xml:space="preserve"> sont rapportées dans le tableau 3, la masse moyenne des œufs du Merle noir est de 7,24</w:t>
      </w:r>
      <w:r w:rsidR="004859C0" w:rsidRPr="00757EDC">
        <w:rPr>
          <w:rFonts w:asciiTheme="majorBidi" w:eastAsia="Calibri" w:hAnsiTheme="majorBidi" w:cstheme="majorBidi"/>
          <w:sz w:val="22"/>
          <w:szCs w:val="22"/>
        </w:rPr>
        <w:t>g ; le volume est de 7,11 cm</w:t>
      </w:r>
      <w:r w:rsidR="004859C0" w:rsidRPr="00757EDC">
        <w:rPr>
          <w:rFonts w:asciiTheme="majorBidi" w:eastAsia="Calibri" w:hAnsiTheme="majorBidi" w:cstheme="majorBidi"/>
          <w:sz w:val="22"/>
          <w:szCs w:val="22"/>
          <w:vertAlign w:val="superscript"/>
        </w:rPr>
        <w:t>3</w:t>
      </w:r>
      <w:r w:rsidR="004859C0" w:rsidRPr="00757EDC">
        <w:rPr>
          <w:rFonts w:asciiTheme="majorBidi" w:eastAsia="Calibri" w:hAnsiTheme="majorBidi" w:cstheme="majorBidi"/>
          <w:sz w:val="22"/>
          <w:szCs w:val="22"/>
        </w:rPr>
        <w:t>, ce qui donne une densité moyenne de 1,02 g/cm</w:t>
      </w:r>
      <w:r w:rsidR="004859C0" w:rsidRPr="00757EDC">
        <w:rPr>
          <w:rFonts w:asciiTheme="majorBidi" w:eastAsia="Calibri" w:hAnsiTheme="majorBidi" w:cstheme="majorBidi"/>
          <w:sz w:val="22"/>
          <w:szCs w:val="22"/>
          <w:vertAlign w:val="superscript"/>
        </w:rPr>
        <w:t>3</w:t>
      </w:r>
      <w:r w:rsidR="004859C0" w:rsidRPr="00757EDC">
        <w:rPr>
          <w:rFonts w:asciiTheme="majorBidi" w:eastAsia="Calibri" w:hAnsiTheme="majorBidi" w:cstheme="majorBidi"/>
          <w:bCs/>
          <w:sz w:val="22"/>
          <w:szCs w:val="22"/>
        </w:rPr>
        <w:t xml:space="preserve">. L’indice de forme est de 72,52%. </w:t>
      </w:r>
      <w:r w:rsidR="004859C0">
        <w:rPr>
          <w:rFonts w:asciiTheme="majorBidi" w:eastAsia="Calibri" w:hAnsiTheme="majorBidi" w:cstheme="majorBidi"/>
          <w:bCs/>
          <w:sz w:val="22"/>
          <w:szCs w:val="22"/>
        </w:rPr>
        <w:t xml:space="preserve"> </w:t>
      </w:r>
      <w:r w:rsidR="004859C0" w:rsidRPr="00757EDC">
        <w:rPr>
          <w:rFonts w:asciiTheme="majorBidi" w:eastAsia="Calibri" w:hAnsiTheme="majorBidi" w:cstheme="majorBidi"/>
          <w:sz w:val="22"/>
          <w:szCs w:val="22"/>
          <w:lang w:bidi="ar-DZ"/>
        </w:rPr>
        <w:t xml:space="preserve">Il existe une corrélation positive et significative entre la date de ponte et la masse des œufs de du Merle noir </w:t>
      </w:r>
      <w:r w:rsidR="004859C0" w:rsidRPr="00757EDC">
        <w:rPr>
          <w:rFonts w:asciiTheme="majorBidi" w:eastAsia="Calibri" w:hAnsiTheme="majorBidi" w:cstheme="majorBidi"/>
          <w:sz w:val="22"/>
          <w:szCs w:val="22"/>
        </w:rPr>
        <w:t>(r = 0,399 ; ddl = 80, p ≤ 0,05)</w:t>
      </w:r>
      <w:r w:rsidR="004859C0" w:rsidRPr="00757EDC">
        <w:rPr>
          <w:rFonts w:asciiTheme="majorBidi" w:eastAsia="Calibri" w:hAnsiTheme="majorBidi" w:cstheme="majorBidi"/>
          <w:sz w:val="22"/>
          <w:szCs w:val="22"/>
          <w:lang w:bidi="ar-DZ"/>
        </w:rPr>
        <w:t xml:space="preserve">, la masse des œufs des couvées tardives est plus élevée que celle des premières couvées (Fig. 2). Il existe aussi une corrélation positive et hautement significative entre la date de ponte et le volume des œufs </w:t>
      </w:r>
      <w:r w:rsidR="004859C0" w:rsidRPr="00757EDC">
        <w:rPr>
          <w:rFonts w:asciiTheme="majorBidi" w:eastAsia="Calibri" w:hAnsiTheme="majorBidi" w:cstheme="majorBidi"/>
          <w:sz w:val="22"/>
          <w:szCs w:val="22"/>
        </w:rPr>
        <w:t>(r = 0,413, ddl = 80, p ≤ 0,01)</w:t>
      </w:r>
      <w:r w:rsidR="004859C0" w:rsidRPr="00757EDC">
        <w:rPr>
          <w:rFonts w:asciiTheme="majorBidi" w:eastAsia="Calibri" w:hAnsiTheme="majorBidi" w:cstheme="majorBidi"/>
          <w:sz w:val="22"/>
          <w:szCs w:val="22"/>
          <w:lang w:bidi="ar-DZ"/>
        </w:rPr>
        <w:t xml:space="preserve">, le volume des œufs des couvées tardives est plus élevé que celui des premières couvées (Fig. 3). </w:t>
      </w:r>
    </w:p>
    <w:p w:rsidR="004859C0" w:rsidRPr="00757EDC" w:rsidRDefault="004859C0" w:rsidP="004859C0">
      <w:pPr>
        <w:bidi w:val="0"/>
        <w:jc w:val="both"/>
        <w:rPr>
          <w:rFonts w:asciiTheme="majorBidi" w:eastAsia="Calibri" w:hAnsiTheme="majorBidi" w:cstheme="majorBidi"/>
          <w:sz w:val="22"/>
          <w:szCs w:val="22"/>
        </w:rPr>
      </w:pPr>
    </w:p>
    <w:p w:rsidR="008757CD" w:rsidRDefault="00757EDC" w:rsidP="004859C0">
      <w:pPr>
        <w:bidi w:val="0"/>
        <w:jc w:val="both"/>
        <w:rPr>
          <w:rFonts w:asciiTheme="majorBidi" w:eastAsia="Calibri" w:hAnsiTheme="majorBidi" w:cstheme="majorBidi"/>
          <w:bCs/>
          <w:sz w:val="20"/>
          <w:szCs w:val="20"/>
        </w:rPr>
      </w:pPr>
      <w:r w:rsidRPr="00757EDC">
        <w:rPr>
          <w:rFonts w:asciiTheme="majorBidi" w:eastAsia="Calibri" w:hAnsiTheme="majorBidi" w:cstheme="majorBidi"/>
          <w:b/>
          <w:bCs/>
          <w:sz w:val="20"/>
          <w:szCs w:val="20"/>
        </w:rPr>
        <w:t xml:space="preserve">Tableau 2 : </w:t>
      </w:r>
      <w:r w:rsidRPr="008757CD">
        <w:rPr>
          <w:rFonts w:asciiTheme="majorBidi" w:eastAsia="Calibri" w:hAnsiTheme="majorBidi" w:cstheme="majorBidi"/>
          <w:bCs/>
          <w:sz w:val="20"/>
          <w:szCs w:val="20"/>
        </w:rPr>
        <w:t xml:space="preserve">Date et grandeur de ponte du Merle noir nicheur dans les palmeraies des Zibans </w:t>
      </w:r>
    </w:p>
    <w:p w:rsidR="00757EDC" w:rsidRPr="008757CD" w:rsidRDefault="008757CD" w:rsidP="008757CD">
      <w:pPr>
        <w:bidi w:val="0"/>
        <w:jc w:val="both"/>
        <w:rPr>
          <w:rFonts w:asciiTheme="majorBidi" w:eastAsia="Calibri" w:hAnsiTheme="majorBidi" w:cstheme="majorBidi"/>
          <w:b/>
          <w:bCs/>
          <w:color w:val="000000" w:themeColor="text1" w:themeShade="BF"/>
          <w:sz w:val="20"/>
          <w:szCs w:val="20"/>
          <w:lang w:val="en-US"/>
        </w:rPr>
      </w:pPr>
      <w:r w:rsidRPr="00332319">
        <w:rPr>
          <w:rFonts w:asciiTheme="majorBidi" w:eastAsia="Calibri" w:hAnsiTheme="majorBidi" w:cstheme="majorBidi"/>
          <w:bCs/>
          <w:sz w:val="20"/>
          <w:szCs w:val="20"/>
        </w:rPr>
        <w:t xml:space="preserve">                    </w:t>
      </w:r>
      <w:r w:rsidR="00757EDC" w:rsidRPr="008757CD">
        <w:rPr>
          <w:rFonts w:asciiTheme="majorBidi" w:eastAsia="Calibri" w:hAnsiTheme="majorBidi" w:cstheme="majorBidi"/>
          <w:bCs/>
          <w:sz w:val="20"/>
          <w:szCs w:val="20"/>
          <w:lang w:val="en-US"/>
        </w:rPr>
        <w:t>[</w:t>
      </w:r>
      <w:r w:rsidR="00757EDC" w:rsidRPr="008757CD">
        <w:rPr>
          <w:rFonts w:asciiTheme="majorBidi" w:eastAsia="Calibri" w:hAnsiTheme="majorBidi" w:cstheme="majorBidi"/>
          <w:bCs/>
          <w:i/>
          <w:iCs/>
          <w:sz w:val="20"/>
          <w:szCs w:val="20"/>
          <w:lang w:val="en-US"/>
        </w:rPr>
        <w:t>Cluch size and laying date of the Blackbird breeding in the Ziban Oasis</w:t>
      </w:r>
      <w:r w:rsidR="00757EDC" w:rsidRPr="008757CD">
        <w:rPr>
          <w:rFonts w:asciiTheme="majorBidi" w:eastAsia="Calibri" w:hAnsiTheme="majorBidi" w:cstheme="majorBidi"/>
          <w:bCs/>
          <w:sz w:val="20"/>
          <w:szCs w:val="20"/>
          <w:lang w:val="en-US"/>
        </w:rPr>
        <w:t>]</w:t>
      </w:r>
      <w:r w:rsidR="00DD59A4" w:rsidRPr="008757CD">
        <w:rPr>
          <w:rFonts w:asciiTheme="majorBidi" w:eastAsia="Calibri" w:hAnsiTheme="majorBidi" w:cstheme="majorBidi"/>
          <w:b/>
          <w:bCs/>
          <w:color w:val="000000" w:themeColor="text1" w:themeShade="BF"/>
          <w:sz w:val="20"/>
          <w:szCs w:val="20"/>
          <w:lang w:val="en-US"/>
        </w:rPr>
        <w:t xml:space="preserve"> </w:t>
      </w:r>
    </w:p>
    <w:tbl>
      <w:tblPr>
        <w:tblStyle w:val="Ombrageclair5"/>
        <w:tblW w:w="5000" w:type="pct"/>
        <w:jc w:val="center"/>
        <w:tblCellMar>
          <w:left w:w="57" w:type="dxa"/>
          <w:right w:w="28" w:type="dxa"/>
        </w:tblCellMar>
        <w:tblLook w:val="04A0"/>
      </w:tblPr>
      <w:tblGrid>
        <w:gridCol w:w="1185"/>
        <w:gridCol w:w="4729"/>
        <w:gridCol w:w="3243"/>
      </w:tblGrid>
      <w:tr w:rsidR="00757EDC" w:rsidRPr="00757EDC" w:rsidTr="004859C0">
        <w:trPr>
          <w:cnfStyle w:val="100000000000"/>
          <w:jc w:val="center"/>
        </w:trPr>
        <w:tc>
          <w:tcPr>
            <w:cnfStyle w:val="001000000000"/>
            <w:tcW w:w="0" w:type="auto"/>
            <w:vMerge w:val="restart"/>
            <w:shd w:val="clear" w:color="auto" w:fill="auto"/>
            <w:vAlign w:val="bottom"/>
          </w:tcPr>
          <w:p w:rsidR="00757EDC" w:rsidRPr="00757EDC" w:rsidRDefault="00757EDC" w:rsidP="004859C0">
            <w:pPr>
              <w:bidi w:val="0"/>
              <w:jc w:val="center"/>
              <w:rPr>
                <w:rFonts w:asciiTheme="majorBidi" w:eastAsia="Calibri" w:hAnsiTheme="majorBidi" w:cstheme="majorBidi"/>
                <w:sz w:val="20"/>
                <w:szCs w:val="20"/>
              </w:rPr>
            </w:pPr>
            <w:r w:rsidRPr="00757EDC">
              <w:rPr>
                <w:rFonts w:asciiTheme="majorBidi" w:eastAsia="Calibri" w:hAnsiTheme="majorBidi" w:cstheme="majorBidi"/>
                <w:sz w:val="20"/>
                <w:szCs w:val="20"/>
              </w:rPr>
              <w:t>Années</w:t>
            </w:r>
          </w:p>
        </w:tc>
        <w:tc>
          <w:tcPr>
            <w:tcW w:w="0" w:type="auto"/>
            <w:tcBorders>
              <w:bottom w:val="nil"/>
            </w:tcBorders>
            <w:shd w:val="clear" w:color="auto" w:fill="auto"/>
          </w:tcPr>
          <w:p w:rsidR="00757EDC" w:rsidRPr="00757EDC" w:rsidRDefault="00757EDC" w:rsidP="004859C0">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Date de ponte</w:t>
            </w:r>
          </w:p>
        </w:tc>
        <w:tc>
          <w:tcPr>
            <w:tcW w:w="0" w:type="auto"/>
            <w:tcBorders>
              <w:bottom w:val="nil"/>
            </w:tcBorders>
            <w:shd w:val="clear" w:color="auto" w:fill="auto"/>
          </w:tcPr>
          <w:p w:rsidR="00757EDC" w:rsidRPr="00757EDC" w:rsidRDefault="00757EDC" w:rsidP="004859C0">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Grandeur de ponte (œufs)</w:t>
            </w:r>
          </w:p>
        </w:tc>
      </w:tr>
      <w:tr w:rsidR="00757EDC" w:rsidRPr="00757EDC" w:rsidTr="004859C0">
        <w:trPr>
          <w:cnfStyle w:val="000000100000"/>
          <w:jc w:val="center"/>
        </w:trPr>
        <w:tc>
          <w:tcPr>
            <w:cnfStyle w:val="001000000000"/>
            <w:tcW w:w="0" w:type="auto"/>
            <w:vMerge/>
            <w:tcBorders>
              <w:bottom w:val="single" w:sz="4" w:space="0" w:color="000000" w:themeColor="text1"/>
            </w:tcBorders>
            <w:shd w:val="clear" w:color="auto" w:fill="auto"/>
          </w:tcPr>
          <w:p w:rsidR="00757EDC" w:rsidRPr="00757EDC" w:rsidRDefault="00757EDC" w:rsidP="004859C0">
            <w:pPr>
              <w:bidi w:val="0"/>
              <w:jc w:val="center"/>
              <w:rPr>
                <w:rFonts w:asciiTheme="majorBidi" w:eastAsia="Calibri" w:hAnsiTheme="majorBidi" w:cstheme="majorBidi"/>
                <w:b w:val="0"/>
                <w:bCs w:val="0"/>
                <w:sz w:val="20"/>
                <w:szCs w:val="20"/>
              </w:rPr>
            </w:pPr>
          </w:p>
        </w:tc>
        <w:tc>
          <w:tcPr>
            <w:tcW w:w="0" w:type="auto"/>
            <w:tcBorders>
              <w:top w:val="nil"/>
              <w:bottom w:val="single" w:sz="4" w:space="0" w:color="000000" w:themeColor="text1"/>
            </w:tcBorders>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N ; m ± sd (extrêmes)</w:t>
            </w:r>
          </w:p>
        </w:tc>
        <w:tc>
          <w:tcPr>
            <w:tcW w:w="0" w:type="auto"/>
            <w:tcBorders>
              <w:top w:val="nil"/>
              <w:bottom w:val="single" w:sz="4" w:space="0" w:color="000000" w:themeColor="text1"/>
            </w:tcBorders>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N ; m ± sd (extrêmes)</w:t>
            </w:r>
          </w:p>
        </w:tc>
      </w:tr>
      <w:tr w:rsidR="00757EDC" w:rsidRPr="00757EDC" w:rsidTr="004859C0">
        <w:trPr>
          <w:jc w:val="center"/>
        </w:trPr>
        <w:tc>
          <w:tcPr>
            <w:cnfStyle w:val="001000000000"/>
            <w:tcW w:w="0" w:type="auto"/>
            <w:tcBorders>
              <w:top w:val="single" w:sz="4" w:space="0" w:color="000000" w:themeColor="text1"/>
            </w:tcBorders>
            <w:shd w:val="clear" w:color="auto" w:fill="auto"/>
          </w:tcPr>
          <w:p w:rsidR="00757EDC" w:rsidRPr="00757EDC" w:rsidRDefault="00757EDC" w:rsidP="004859C0">
            <w:pPr>
              <w:bidi w:val="0"/>
              <w:jc w:val="center"/>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2007</w:t>
            </w:r>
          </w:p>
        </w:tc>
        <w:tc>
          <w:tcPr>
            <w:tcW w:w="0" w:type="auto"/>
            <w:tcBorders>
              <w:top w:val="single" w:sz="4" w:space="0" w:color="000000" w:themeColor="text1"/>
            </w:tcBorders>
            <w:shd w:val="clear" w:color="auto" w:fill="auto"/>
          </w:tcPr>
          <w:p w:rsidR="00757EDC" w:rsidRPr="00757EDC" w:rsidRDefault="00757EDC" w:rsidP="004859C0">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9 ; 14 Avril ± 9,94 (29 Mars – 27 juin)</w:t>
            </w:r>
          </w:p>
        </w:tc>
        <w:tc>
          <w:tcPr>
            <w:tcW w:w="0" w:type="auto"/>
            <w:tcBorders>
              <w:top w:val="single" w:sz="4" w:space="0" w:color="000000" w:themeColor="text1"/>
            </w:tcBorders>
            <w:shd w:val="clear" w:color="auto" w:fill="auto"/>
          </w:tcPr>
          <w:p w:rsidR="00757EDC" w:rsidRPr="00757EDC" w:rsidRDefault="00757EDC" w:rsidP="004859C0">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9 ; 3,22 ± 0,44 (3 – 4)</w:t>
            </w:r>
          </w:p>
        </w:tc>
      </w:tr>
      <w:tr w:rsidR="00757EDC" w:rsidRPr="00757EDC" w:rsidTr="004859C0">
        <w:trPr>
          <w:cnfStyle w:val="000000100000"/>
          <w:jc w:val="center"/>
        </w:trPr>
        <w:tc>
          <w:tcPr>
            <w:cnfStyle w:val="001000000000"/>
            <w:tcW w:w="0" w:type="auto"/>
            <w:shd w:val="clear" w:color="auto" w:fill="auto"/>
          </w:tcPr>
          <w:p w:rsidR="00757EDC" w:rsidRPr="00757EDC" w:rsidRDefault="00757EDC" w:rsidP="004859C0">
            <w:pPr>
              <w:bidi w:val="0"/>
              <w:jc w:val="center"/>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2008</w:t>
            </w:r>
          </w:p>
        </w:tc>
        <w:tc>
          <w:tcPr>
            <w:tcW w:w="0" w:type="auto"/>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22 ; 23 Avril ± 25,97 (2 Mars – 1 Juin)</w:t>
            </w:r>
          </w:p>
        </w:tc>
        <w:tc>
          <w:tcPr>
            <w:tcW w:w="0" w:type="auto"/>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22 ; 3,05 ± 0,49 (2 – 4)</w:t>
            </w:r>
          </w:p>
        </w:tc>
      </w:tr>
      <w:tr w:rsidR="00757EDC" w:rsidRPr="00757EDC" w:rsidTr="004859C0">
        <w:trPr>
          <w:jc w:val="center"/>
        </w:trPr>
        <w:tc>
          <w:tcPr>
            <w:cnfStyle w:val="001000000000"/>
            <w:tcW w:w="0" w:type="auto"/>
            <w:shd w:val="clear" w:color="auto" w:fill="auto"/>
          </w:tcPr>
          <w:p w:rsidR="00757EDC" w:rsidRPr="00757EDC" w:rsidRDefault="00757EDC" w:rsidP="004859C0">
            <w:pPr>
              <w:bidi w:val="0"/>
              <w:jc w:val="center"/>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2009</w:t>
            </w:r>
          </w:p>
        </w:tc>
        <w:tc>
          <w:tcPr>
            <w:tcW w:w="0" w:type="auto"/>
            <w:shd w:val="clear" w:color="auto" w:fill="auto"/>
          </w:tcPr>
          <w:p w:rsidR="00757EDC" w:rsidRPr="00757EDC" w:rsidRDefault="00757EDC" w:rsidP="004859C0">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18 ; 18 Avril ± 5,96 (10 Mars – 3 </w:t>
            </w:r>
            <w:r w:rsidRPr="00757EDC">
              <w:rPr>
                <w:rFonts w:asciiTheme="majorBidi" w:eastAsia="Calibri" w:hAnsiTheme="majorBidi" w:cstheme="majorBidi"/>
                <w:sz w:val="20"/>
                <w:szCs w:val="20"/>
                <w:lang w:bidi="ar-DZ"/>
              </w:rPr>
              <w:t>Juillet</w:t>
            </w:r>
            <w:r w:rsidRPr="00757EDC">
              <w:rPr>
                <w:rFonts w:asciiTheme="majorBidi" w:eastAsia="Calibri" w:hAnsiTheme="majorBidi" w:cstheme="majorBidi"/>
                <w:sz w:val="20"/>
                <w:szCs w:val="20"/>
              </w:rPr>
              <w:t>)</w:t>
            </w:r>
          </w:p>
        </w:tc>
        <w:tc>
          <w:tcPr>
            <w:tcW w:w="0" w:type="auto"/>
            <w:shd w:val="clear" w:color="auto" w:fill="auto"/>
          </w:tcPr>
          <w:p w:rsidR="00757EDC" w:rsidRPr="00757EDC" w:rsidRDefault="00757EDC" w:rsidP="004859C0">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17 ; 3,24 ± 0,75 (2 – 4)</w:t>
            </w:r>
          </w:p>
        </w:tc>
      </w:tr>
      <w:tr w:rsidR="00757EDC" w:rsidRPr="00757EDC" w:rsidTr="004859C0">
        <w:trPr>
          <w:cnfStyle w:val="000000100000"/>
          <w:jc w:val="center"/>
        </w:trPr>
        <w:tc>
          <w:tcPr>
            <w:cnfStyle w:val="001000000000"/>
            <w:tcW w:w="0" w:type="auto"/>
            <w:shd w:val="clear" w:color="auto" w:fill="auto"/>
          </w:tcPr>
          <w:p w:rsidR="00757EDC" w:rsidRPr="00757EDC" w:rsidRDefault="00757EDC" w:rsidP="004859C0">
            <w:pPr>
              <w:bidi w:val="0"/>
              <w:jc w:val="center"/>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Moyenne</w:t>
            </w:r>
          </w:p>
        </w:tc>
        <w:tc>
          <w:tcPr>
            <w:tcW w:w="0" w:type="auto"/>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49 ; 18 Avril ± 23,72 (2 Mars – 3 </w:t>
            </w:r>
            <w:r w:rsidRPr="00757EDC">
              <w:rPr>
                <w:rFonts w:asciiTheme="majorBidi" w:eastAsia="Calibri" w:hAnsiTheme="majorBidi" w:cstheme="majorBidi"/>
                <w:sz w:val="20"/>
                <w:szCs w:val="20"/>
                <w:lang w:bidi="ar-DZ"/>
              </w:rPr>
              <w:t>Juillet</w:t>
            </w:r>
            <w:r w:rsidRPr="00757EDC">
              <w:rPr>
                <w:rFonts w:asciiTheme="majorBidi" w:eastAsia="Calibri" w:hAnsiTheme="majorBidi" w:cstheme="majorBidi"/>
                <w:sz w:val="20"/>
                <w:szCs w:val="20"/>
              </w:rPr>
              <w:t>)</w:t>
            </w:r>
          </w:p>
        </w:tc>
        <w:tc>
          <w:tcPr>
            <w:tcW w:w="0" w:type="auto"/>
            <w:shd w:val="clear" w:color="auto" w:fill="auto"/>
          </w:tcPr>
          <w:p w:rsidR="00757EDC" w:rsidRPr="00757EDC" w:rsidRDefault="00757EDC" w:rsidP="004859C0">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48 ; 3,15 ± 0,58 (2 – 4)</w:t>
            </w:r>
          </w:p>
        </w:tc>
      </w:tr>
    </w:tbl>
    <w:p w:rsidR="00DD59A4" w:rsidRDefault="00DD59A4" w:rsidP="00757EDC">
      <w:pPr>
        <w:bidi w:val="0"/>
        <w:ind w:firstLine="708"/>
        <w:jc w:val="center"/>
        <w:rPr>
          <w:rFonts w:asciiTheme="majorBidi" w:eastAsia="Calibri" w:hAnsiTheme="majorBidi" w:cstheme="majorBidi"/>
          <w:sz w:val="22"/>
          <w:szCs w:val="22"/>
          <w:lang w:bidi="ar-DZ"/>
        </w:rPr>
      </w:pPr>
    </w:p>
    <w:p w:rsidR="00757EDC" w:rsidRPr="00757EDC" w:rsidRDefault="00757EDC" w:rsidP="00DD59A4">
      <w:pPr>
        <w:bidi w:val="0"/>
        <w:ind w:firstLine="708"/>
        <w:jc w:val="center"/>
        <w:rPr>
          <w:rFonts w:asciiTheme="majorBidi" w:eastAsia="Calibri" w:hAnsiTheme="majorBidi" w:cstheme="majorBidi"/>
          <w:sz w:val="22"/>
          <w:szCs w:val="22"/>
          <w:lang w:bidi="ar-DZ"/>
        </w:rPr>
      </w:pPr>
      <w:r w:rsidRPr="00757EDC">
        <w:rPr>
          <w:rFonts w:asciiTheme="majorBidi" w:eastAsia="Calibri" w:hAnsiTheme="majorBidi" w:cstheme="majorBidi"/>
          <w:noProof/>
          <w:sz w:val="22"/>
          <w:szCs w:val="22"/>
          <w:lang w:eastAsia="fr-FR"/>
        </w:rPr>
        <w:drawing>
          <wp:inline distT="0" distB="0" distL="0" distR="0">
            <wp:extent cx="3667705" cy="2340000"/>
            <wp:effectExtent l="19050" t="19050" r="27995" b="22200"/>
            <wp:docPr id="2"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9" cstate="print"/>
                    <a:srcRect l="2151" t="5112" r="2581" b="4473"/>
                    <a:stretch>
                      <a:fillRect/>
                    </a:stretch>
                  </pic:blipFill>
                  <pic:spPr bwMode="auto">
                    <a:xfrm>
                      <a:off x="0" y="0"/>
                      <a:ext cx="3667705" cy="2340000"/>
                    </a:xfrm>
                    <a:prstGeom prst="rect">
                      <a:avLst/>
                    </a:prstGeom>
                    <a:noFill/>
                    <a:ln w="3175">
                      <a:solidFill>
                        <a:schemeClr val="tx1"/>
                      </a:solidFill>
                      <a:miter lim="800000"/>
                      <a:headEnd/>
                      <a:tailEnd/>
                    </a:ln>
                  </pic:spPr>
                </pic:pic>
              </a:graphicData>
            </a:graphic>
          </wp:inline>
        </w:drawing>
      </w:r>
    </w:p>
    <w:p w:rsidR="008757CD" w:rsidRDefault="00757EDC" w:rsidP="004859C0">
      <w:pPr>
        <w:bidi w:val="0"/>
        <w:jc w:val="both"/>
        <w:rPr>
          <w:rFonts w:asciiTheme="majorBidi" w:eastAsia="Calibri" w:hAnsiTheme="majorBidi" w:cstheme="majorBidi"/>
          <w:bCs/>
          <w:sz w:val="20"/>
          <w:szCs w:val="20"/>
          <w:lang w:bidi="ar-DZ"/>
        </w:rPr>
      </w:pPr>
      <w:r w:rsidRPr="00757EDC">
        <w:rPr>
          <w:rFonts w:asciiTheme="majorBidi" w:eastAsia="Calibri" w:hAnsiTheme="majorBidi" w:cstheme="majorBidi"/>
          <w:b/>
          <w:bCs/>
          <w:sz w:val="20"/>
          <w:szCs w:val="20"/>
          <w:lang w:bidi="ar-DZ"/>
        </w:rPr>
        <w:lastRenderedPageBreak/>
        <w:t xml:space="preserve">Figure 2 : </w:t>
      </w:r>
      <w:r w:rsidRPr="008757CD">
        <w:rPr>
          <w:rFonts w:asciiTheme="majorBidi" w:eastAsia="Calibri" w:hAnsiTheme="majorBidi" w:cstheme="majorBidi"/>
          <w:bCs/>
          <w:sz w:val="20"/>
          <w:szCs w:val="20"/>
          <w:lang w:bidi="ar-DZ"/>
        </w:rPr>
        <w:t xml:space="preserve">Relation entre la date de ponte et la masse des œufs du Merle </w:t>
      </w:r>
    </w:p>
    <w:p w:rsidR="00757EDC" w:rsidRPr="008757CD" w:rsidRDefault="008757CD" w:rsidP="008757CD">
      <w:pPr>
        <w:bidi w:val="0"/>
        <w:jc w:val="both"/>
        <w:rPr>
          <w:rFonts w:asciiTheme="majorBidi" w:eastAsia="Calibri" w:hAnsiTheme="majorBidi" w:cstheme="majorBidi"/>
          <w:b/>
          <w:bCs/>
          <w:sz w:val="20"/>
          <w:szCs w:val="20"/>
          <w:lang w:val="en-US" w:bidi="ar-DZ"/>
        </w:rPr>
      </w:pPr>
      <w:r w:rsidRPr="00332319">
        <w:rPr>
          <w:rFonts w:asciiTheme="majorBidi" w:eastAsia="Calibri" w:hAnsiTheme="majorBidi" w:cstheme="majorBidi"/>
          <w:bCs/>
          <w:sz w:val="20"/>
          <w:szCs w:val="20"/>
          <w:lang w:bidi="ar-DZ"/>
        </w:rPr>
        <w:t xml:space="preserve">                 </w:t>
      </w:r>
      <w:r w:rsidR="00757EDC" w:rsidRPr="008757CD">
        <w:rPr>
          <w:rFonts w:asciiTheme="majorBidi" w:eastAsia="Calibri" w:hAnsiTheme="majorBidi" w:cstheme="majorBidi"/>
          <w:bCs/>
          <w:sz w:val="20"/>
          <w:szCs w:val="20"/>
          <w:lang w:val="en-US"/>
        </w:rPr>
        <w:t>[</w:t>
      </w:r>
      <w:r w:rsidR="00757EDC" w:rsidRPr="008757CD">
        <w:rPr>
          <w:rFonts w:asciiTheme="majorBidi" w:eastAsia="Calibri" w:hAnsiTheme="majorBidi" w:cstheme="majorBidi"/>
          <w:bCs/>
          <w:i/>
          <w:iCs/>
          <w:sz w:val="20"/>
          <w:szCs w:val="20"/>
          <w:lang w:val="en-US" w:bidi="ar-DZ"/>
        </w:rPr>
        <w:t>Relation between the laying date and eggs mass of the Blackbird</w:t>
      </w:r>
      <w:r w:rsidR="00757EDC" w:rsidRPr="008757CD">
        <w:rPr>
          <w:rFonts w:asciiTheme="majorBidi" w:eastAsia="Calibri" w:hAnsiTheme="majorBidi" w:cstheme="majorBidi"/>
          <w:bCs/>
          <w:sz w:val="20"/>
          <w:szCs w:val="20"/>
          <w:lang w:val="en-US"/>
        </w:rPr>
        <w:t>]</w:t>
      </w:r>
    </w:p>
    <w:p w:rsidR="00757EDC" w:rsidRPr="00757EDC" w:rsidRDefault="00757EDC" w:rsidP="00757EDC">
      <w:pPr>
        <w:bidi w:val="0"/>
        <w:ind w:firstLine="708"/>
        <w:jc w:val="center"/>
        <w:rPr>
          <w:rFonts w:asciiTheme="majorBidi" w:eastAsia="Calibri" w:hAnsiTheme="majorBidi" w:cstheme="majorBidi"/>
          <w:sz w:val="22"/>
          <w:szCs w:val="22"/>
          <w:lang w:bidi="ar-DZ"/>
        </w:rPr>
      </w:pPr>
      <w:r w:rsidRPr="00757EDC">
        <w:rPr>
          <w:rFonts w:asciiTheme="majorBidi" w:eastAsia="Calibri" w:hAnsiTheme="majorBidi" w:cstheme="majorBidi"/>
          <w:noProof/>
          <w:sz w:val="22"/>
          <w:szCs w:val="22"/>
          <w:lang w:eastAsia="fr-FR"/>
        </w:rPr>
        <w:drawing>
          <wp:inline distT="0" distB="0" distL="0" distR="0">
            <wp:extent cx="3672000" cy="2302306"/>
            <wp:effectExtent l="19050" t="19050" r="23700" b="21794"/>
            <wp:docPr id="3"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0" cstate="print"/>
                    <a:srcRect l="2725" t="4481" r="2516" b="4612"/>
                    <a:stretch>
                      <a:fillRect/>
                    </a:stretch>
                  </pic:blipFill>
                  <pic:spPr bwMode="auto">
                    <a:xfrm>
                      <a:off x="0" y="0"/>
                      <a:ext cx="3672000" cy="2302306"/>
                    </a:xfrm>
                    <a:prstGeom prst="rect">
                      <a:avLst/>
                    </a:prstGeom>
                    <a:solidFill>
                      <a:schemeClr val="accent1"/>
                    </a:solidFill>
                    <a:ln w="3175">
                      <a:solidFill>
                        <a:schemeClr val="tx1"/>
                      </a:solidFill>
                      <a:miter lim="800000"/>
                      <a:headEnd/>
                      <a:tailEnd/>
                    </a:ln>
                  </pic:spPr>
                </pic:pic>
              </a:graphicData>
            </a:graphic>
          </wp:inline>
        </w:drawing>
      </w:r>
    </w:p>
    <w:p w:rsidR="008757CD" w:rsidRDefault="00757EDC" w:rsidP="004859C0">
      <w:pPr>
        <w:bidi w:val="0"/>
        <w:jc w:val="both"/>
        <w:rPr>
          <w:rFonts w:asciiTheme="majorBidi" w:eastAsia="Calibri" w:hAnsiTheme="majorBidi" w:cstheme="majorBidi"/>
          <w:bCs/>
          <w:sz w:val="20"/>
          <w:szCs w:val="20"/>
          <w:lang w:bidi="ar-DZ"/>
        </w:rPr>
      </w:pPr>
      <w:r w:rsidRPr="00757EDC">
        <w:rPr>
          <w:rFonts w:asciiTheme="majorBidi" w:eastAsia="Calibri" w:hAnsiTheme="majorBidi" w:cstheme="majorBidi"/>
          <w:b/>
          <w:bCs/>
          <w:sz w:val="20"/>
          <w:szCs w:val="20"/>
          <w:lang w:bidi="ar-DZ"/>
        </w:rPr>
        <w:t xml:space="preserve">Figure 3 : </w:t>
      </w:r>
      <w:r w:rsidRPr="008757CD">
        <w:rPr>
          <w:rFonts w:asciiTheme="majorBidi" w:eastAsia="Calibri" w:hAnsiTheme="majorBidi" w:cstheme="majorBidi"/>
          <w:bCs/>
          <w:sz w:val="20"/>
          <w:szCs w:val="20"/>
          <w:lang w:bidi="ar-DZ"/>
        </w:rPr>
        <w:t xml:space="preserve">Relation entre la date de ponte et le volume des œufs du Merle noir </w:t>
      </w:r>
    </w:p>
    <w:p w:rsidR="00757EDC" w:rsidRPr="008757CD" w:rsidRDefault="008757CD" w:rsidP="008757CD">
      <w:pPr>
        <w:bidi w:val="0"/>
        <w:jc w:val="both"/>
        <w:rPr>
          <w:rFonts w:asciiTheme="majorBidi" w:eastAsia="Calibri" w:hAnsiTheme="majorBidi" w:cstheme="majorBidi"/>
          <w:b/>
          <w:bCs/>
          <w:sz w:val="20"/>
          <w:szCs w:val="20"/>
          <w:lang w:val="en-US" w:bidi="ar-DZ"/>
        </w:rPr>
      </w:pPr>
      <w:r w:rsidRPr="00332319">
        <w:rPr>
          <w:rFonts w:asciiTheme="majorBidi" w:eastAsia="Calibri" w:hAnsiTheme="majorBidi" w:cstheme="majorBidi"/>
          <w:bCs/>
          <w:sz w:val="20"/>
          <w:szCs w:val="20"/>
          <w:lang w:bidi="ar-DZ"/>
        </w:rPr>
        <w:t xml:space="preserve">                 </w:t>
      </w:r>
      <w:r w:rsidR="00757EDC" w:rsidRPr="008757CD">
        <w:rPr>
          <w:rFonts w:asciiTheme="majorBidi" w:eastAsia="Calibri" w:hAnsiTheme="majorBidi" w:cstheme="majorBidi"/>
          <w:bCs/>
          <w:sz w:val="20"/>
          <w:szCs w:val="20"/>
          <w:lang w:val="en-US"/>
        </w:rPr>
        <w:t>[</w:t>
      </w:r>
      <w:r w:rsidR="00757EDC" w:rsidRPr="008757CD">
        <w:rPr>
          <w:rFonts w:asciiTheme="majorBidi" w:eastAsia="Calibri" w:hAnsiTheme="majorBidi" w:cstheme="majorBidi"/>
          <w:bCs/>
          <w:i/>
          <w:iCs/>
          <w:sz w:val="20"/>
          <w:szCs w:val="20"/>
          <w:lang w:val="en-US" w:bidi="ar-DZ"/>
        </w:rPr>
        <w:t>Relation between the laying date and eggs volum of the Blackbird</w:t>
      </w:r>
      <w:r w:rsidR="00757EDC" w:rsidRPr="008757CD">
        <w:rPr>
          <w:rFonts w:asciiTheme="majorBidi" w:eastAsia="Calibri" w:hAnsiTheme="majorBidi" w:cstheme="majorBidi"/>
          <w:bCs/>
          <w:sz w:val="20"/>
          <w:szCs w:val="20"/>
          <w:lang w:val="en-US"/>
        </w:rPr>
        <w:t>]</w:t>
      </w:r>
    </w:p>
    <w:p w:rsidR="004859C0" w:rsidRPr="008757CD" w:rsidRDefault="004859C0" w:rsidP="00757EDC">
      <w:pPr>
        <w:bidi w:val="0"/>
        <w:jc w:val="both"/>
        <w:rPr>
          <w:rFonts w:asciiTheme="majorBidi" w:eastAsia="Calibri" w:hAnsiTheme="majorBidi" w:cstheme="majorBidi"/>
          <w:b/>
          <w:bCs/>
          <w:sz w:val="22"/>
          <w:szCs w:val="22"/>
          <w:lang w:val="en-US"/>
        </w:rPr>
      </w:pPr>
    </w:p>
    <w:p w:rsidR="008757CD" w:rsidRDefault="00DD59A4" w:rsidP="00DD59A4">
      <w:pPr>
        <w:bidi w:val="0"/>
        <w:jc w:val="both"/>
        <w:rPr>
          <w:rFonts w:asciiTheme="majorBidi" w:eastAsia="Calibri" w:hAnsiTheme="majorBidi" w:cstheme="majorBidi"/>
          <w:bCs/>
          <w:sz w:val="20"/>
          <w:szCs w:val="20"/>
        </w:rPr>
      </w:pPr>
      <w:r w:rsidRPr="00757EDC">
        <w:rPr>
          <w:rFonts w:asciiTheme="majorBidi" w:eastAsia="Calibri" w:hAnsiTheme="majorBidi" w:cstheme="majorBidi"/>
          <w:b/>
          <w:bCs/>
          <w:sz w:val="20"/>
          <w:szCs w:val="20"/>
        </w:rPr>
        <w:t xml:space="preserve">Tableau 3 : </w:t>
      </w:r>
      <w:r w:rsidRPr="008757CD">
        <w:rPr>
          <w:rFonts w:asciiTheme="majorBidi" w:eastAsia="Calibri" w:hAnsiTheme="majorBidi" w:cstheme="majorBidi"/>
          <w:bCs/>
          <w:sz w:val="20"/>
          <w:szCs w:val="20"/>
        </w:rPr>
        <w:t xml:space="preserve">Traits des œufs du Merle noir nicheur dans les palmeraies de Biskra </w:t>
      </w:r>
    </w:p>
    <w:p w:rsidR="00DD59A4" w:rsidRPr="008757CD" w:rsidRDefault="008757CD" w:rsidP="008757CD">
      <w:pPr>
        <w:bidi w:val="0"/>
        <w:jc w:val="both"/>
        <w:rPr>
          <w:rFonts w:asciiTheme="majorBidi" w:eastAsia="Calibri" w:hAnsiTheme="majorBidi" w:cstheme="majorBidi"/>
          <w:b/>
          <w:bCs/>
          <w:sz w:val="20"/>
          <w:szCs w:val="20"/>
          <w:lang w:val="en-US"/>
        </w:rPr>
      </w:pPr>
      <w:r w:rsidRPr="00332319">
        <w:rPr>
          <w:rFonts w:asciiTheme="majorBidi" w:eastAsia="Calibri" w:hAnsiTheme="majorBidi" w:cstheme="majorBidi"/>
          <w:bCs/>
          <w:sz w:val="20"/>
          <w:szCs w:val="20"/>
        </w:rPr>
        <w:t xml:space="preserve">                    </w:t>
      </w:r>
      <w:r w:rsidR="00DD59A4" w:rsidRPr="008757CD">
        <w:rPr>
          <w:rFonts w:asciiTheme="majorBidi" w:eastAsia="Calibri" w:hAnsiTheme="majorBidi" w:cstheme="majorBidi"/>
          <w:bCs/>
          <w:sz w:val="20"/>
          <w:szCs w:val="20"/>
          <w:lang w:val="en-US"/>
        </w:rPr>
        <w:t>[</w:t>
      </w:r>
      <w:r w:rsidR="00DD59A4" w:rsidRPr="008757CD">
        <w:rPr>
          <w:rFonts w:asciiTheme="majorBidi" w:eastAsia="Calibri" w:hAnsiTheme="majorBidi" w:cstheme="majorBidi"/>
          <w:bCs/>
          <w:i/>
          <w:iCs/>
          <w:sz w:val="20"/>
          <w:szCs w:val="20"/>
          <w:lang w:val="en-US"/>
        </w:rPr>
        <w:t>Egg trait of the Blackbird breeding in the Ziban oasis</w:t>
      </w:r>
      <w:r w:rsidR="00DD59A4" w:rsidRPr="008757CD">
        <w:rPr>
          <w:rFonts w:asciiTheme="majorBidi" w:eastAsia="Calibri" w:hAnsiTheme="majorBidi" w:cstheme="majorBidi"/>
          <w:bCs/>
          <w:sz w:val="20"/>
          <w:szCs w:val="20"/>
          <w:lang w:val="en-US"/>
        </w:rPr>
        <w:t>]</w:t>
      </w:r>
    </w:p>
    <w:tbl>
      <w:tblPr>
        <w:tblStyle w:val="Ombrageclair4"/>
        <w:tblW w:w="5000" w:type="pct"/>
        <w:jc w:val="center"/>
        <w:shd w:val="clear" w:color="auto" w:fill="FFFFFF" w:themeFill="background1"/>
        <w:tblCellMar>
          <w:left w:w="57" w:type="dxa"/>
          <w:right w:w="28" w:type="dxa"/>
        </w:tblCellMar>
        <w:tblLook w:val="04A0"/>
      </w:tblPr>
      <w:tblGrid>
        <w:gridCol w:w="2819"/>
        <w:gridCol w:w="1301"/>
        <w:gridCol w:w="1449"/>
        <w:gridCol w:w="1624"/>
        <w:gridCol w:w="1964"/>
      </w:tblGrid>
      <w:tr w:rsidR="00DD59A4" w:rsidRPr="004859C0" w:rsidTr="008350ED">
        <w:trPr>
          <w:cnfStyle w:val="100000000000"/>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Paramètres </w:t>
            </w:r>
          </w:p>
        </w:tc>
        <w:tc>
          <w:tcPr>
            <w:tcW w:w="0" w:type="auto"/>
            <w:shd w:val="clear" w:color="auto" w:fill="FFFFFF" w:themeFill="background1"/>
          </w:tcPr>
          <w:p w:rsidR="00DD59A4" w:rsidRPr="00757EDC" w:rsidRDefault="00DD59A4" w:rsidP="008350ED">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Nombre</w:t>
            </w:r>
          </w:p>
        </w:tc>
        <w:tc>
          <w:tcPr>
            <w:tcW w:w="0" w:type="auto"/>
            <w:shd w:val="clear" w:color="auto" w:fill="FFFFFF" w:themeFill="background1"/>
          </w:tcPr>
          <w:p w:rsidR="00DD59A4" w:rsidRPr="00757EDC" w:rsidRDefault="00DD59A4" w:rsidP="008350ED">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Moyenne  </w:t>
            </w:r>
          </w:p>
        </w:tc>
        <w:tc>
          <w:tcPr>
            <w:tcW w:w="0" w:type="auto"/>
            <w:shd w:val="clear" w:color="auto" w:fill="FFFFFF" w:themeFill="background1"/>
          </w:tcPr>
          <w:p w:rsidR="00DD59A4" w:rsidRPr="00757EDC" w:rsidRDefault="00DD59A4" w:rsidP="008350ED">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Ecart type </w:t>
            </w:r>
          </w:p>
        </w:tc>
        <w:tc>
          <w:tcPr>
            <w:tcW w:w="0" w:type="auto"/>
            <w:shd w:val="clear" w:color="auto" w:fill="FFFFFF" w:themeFill="background1"/>
          </w:tcPr>
          <w:p w:rsidR="00DD59A4" w:rsidRPr="00757EDC" w:rsidRDefault="00DD59A4" w:rsidP="008350ED">
            <w:pPr>
              <w:bidi w:val="0"/>
              <w:jc w:val="center"/>
              <w:cnfStyle w:val="1000000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Extrêmes </w:t>
            </w:r>
          </w:p>
        </w:tc>
      </w:tr>
      <w:tr w:rsidR="00DD59A4" w:rsidRPr="00DD59A4" w:rsidTr="008350ED">
        <w:trPr>
          <w:cnfStyle w:val="000000100000"/>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Masse (g)</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110</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7,24</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0,74</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6 –  9,3</w:t>
            </w:r>
          </w:p>
        </w:tc>
      </w:tr>
      <w:tr w:rsidR="00DD59A4" w:rsidRPr="00DD59A4" w:rsidTr="008350ED">
        <w:trPr>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Longueur (cm)</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110</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2,98</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0,17</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2,63 – 3,3 </w:t>
            </w:r>
          </w:p>
        </w:tc>
      </w:tr>
      <w:tr w:rsidR="00DD59A4" w:rsidRPr="00DD59A4" w:rsidTr="008350ED">
        <w:trPr>
          <w:cnfStyle w:val="000000100000"/>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Largeur (cm)</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110 </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2,16</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0,07</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2 – 2,38 </w:t>
            </w:r>
          </w:p>
        </w:tc>
      </w:tr>
      <w:tr w:rsidR="00DD59A4" w:rsidRPr="00DD59A4" w:rsidTr="008350ED">
        <w:trPr>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Volume (cm</w:t>
            </w:r>
            <w:r w:rsidRPr="00757EDC">
              <w:rPr>
                <w:rFonts w:asciiTheme="majorBidi" w:eastAsia="Calibri" w:hAnsiTheme="majorBidi" w:cstheme="majorBidi"/>
                <w:b w:val="0"/>
                <w:bCs w:val="0"/>
                <w:sz w:val="20"/>
                <w:szCs w:val="20"/>
                <w:vertAlign w:val="superscript"/>
              </w:rPr>
              <w:t>3</w:t>
            </w:r>
            <w:r w:rsidRPr="00757EDC">
              <w:rPr>
                <w:rFonts w:asciiTheme="majorBidi" w:eastAsia="Calibri" w:hAnsiTheme="majorBidi" w:cstheme="majorBidi"/>
                <w:b w:val="0"/>
                <w:bCs w:val="0"/>
                <w:sz w:val="20"/>
                <w:szCs w:val="20"/>
              </w:rPr>
              <w:t>)</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110</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7,11</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0,63</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5,69 – 9,07</w:t>
            </w:r>
          </w:p>
        </w:tc>
      </w:tr>
      <w:tr w:rsidR="00DD59A4" w:rsidRPr="00DD59A4" w:rsidTr="008350ED">
        <w:trPr>
          <w:cnfStyle w:val="000000100000"/>
          <w:jc w:val="center"/>
        </w:trPr>
        <w:tc>
          <w:tcPr>
            <w:cnfStyle w:val="001000000000"/>
            <w:tcW w:w="0" w:type="auto"/>
            <w:shd w:val="clear" w:color="auto" w:fill="FFFFFF" w:themeFill="background1"/>
          </w:tcPr>
          <w:p w:rsidR="00DD59A4" w:rsidRPr="00757EDC" w:rsidRDefault="00DD59A4" w:rsidP="008350ED">
            <w:pPr>
              <w:tabs>
                <w:tab w:val="left" w:pos="4038"/>
              </w:tabs>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Densité (g/cm</w:t>
            </w:r>
            <w:r w:rsidRPr="00757EDC">
              <w:rPr>
                <w:rFonts w:asciiTheme="majorBidi" w:eastAsia="Calibri" w:hAnsiTheme="majorBidi" w:cstheme="majorBidi"/>
                <w:b w:val="0"/>
                <w:bCs w:val="0"/>
                <w:sz w:val="20"/>
                <w:szCs w:val="20"/>
                <w:vertAlign w:val="superscript"/>
              </w:rPr>
              <w:t>3</w:t>
            </w:r>
            <w:r w:rsidRPr="00757EDC">
              <w:rPr>
                <w:rFonts w:asciiTheme="majorBidi" w:eastAsia="Calibri" w:hAnsiTheme="majorBidi" w:cstheme="majorBidi"/>
                <w:b w:val="0"/>
                <w:bCs w:val="0"/>
                <w:sz w:val="20"/>
                <w:szCs w:val="20"/>
              </w:rPr>
              <w:t>)</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110</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1,02</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0,06</w:t>
            </w:r>
          </w:p>
        </w:tc>
        <w:tc>
          <w:tcPr>
            <w:tcW w:w="0" w:type="auto"/>
            <w:shd w:val="clear" w:color="auto" w:fill="FFFFFF" w:themeFill="background1"/>
          </w:tcPr>
          <w:p w:rsidR="00DD59A4" w:rsidRPr="00757EDC" w:rsidRDefault="00DD59A4" w:rsidP="008350ED">
            <w:pPr>
              <w:bidi w:val="0"/>
              <w:jc w:val="center"/>
              <w:cnfStyle w:val="000000100000"/>
              <w:rPr>
                <w:rFonts w:asciiTheme="majorBidi" w:eastAsia="Calibri" w:hAnsiTheme="majorBidi" w:cstheme="majorBidi"/>
                <w:sz w:val="20"/>
                <w:szCs w:val="20"/>
              </w:rPr>
            </w:pPr>
            <w:r w:rsidRPr="00757EDC">
              <w:rPr>
                <w:rFonts w:asciiTheme="majorBidi" w:eastAsia="Calibri" w:hAnsiTheme="majorBidi" w:cstheme="majorBidi"/>
                <w:sz w:val="20"/>
                <w:szCs w:val="20"/>
              </w:rPr>
              <w:t>0,87 – 1,19</w:t>
            </w:r>
          </w:p>
        </w:tc>
      </w:tr>
      <w:tr w:rsidR="00DD59A4" w:rsidRPr="00DD59A4" w:rsidTr="008350ED">
        <w:trPr>
          <w:jc w:val="center"/>
        </w:trPr>
        <w:tc>
          <w:tcPr>
            <w:cnfStyle w:val="001000000000"/>
            <w:tcW w:w="0" w:type="auto"/>
            <w:shd w:val="clear" w:color="auto" w:fill="FFFFFF" w:themeFill="background1"/>
          </w:tcPr>
          <w:p w:rsidR="00DD59A4" w:rsidRPr="00757EDC" w:rsidRDefault="00DD59A4" w:rsidP="008350ED">
            <w:pPr>
              <w:bidi w:val="0"/>
              <w:rPr>
                <w:rFonts w:asciiTheme="majorBidi" w:eastAsia="Calibri" w:hAnsiTheme="majorBidi" w:cstheme="majorBidi"/>
                <w:b w:val="0"/>
                <w:bCs w:val="0"/>
                <w:sz w:val="20"/>
                <w:szCs w:val="20"/>
              </w:rPr>
            </w:pPr>
            <w:r w:rsidRPr="00757EDC">
              <w:rPr>
                <w:rFonts w:asciiTheme="majorBidi" w:eastAsia="Calibri" w:hAnsiTheme="majorBidi" w:cstheme="majorBidi"/>
                <w:b w:val="0"/>
                <w:bCs w:val="0"/>
                <w:sz w:val="20"/>
                <w:szCs w:val="20"/>
              </w:rPr>
              <w:t>Indice de forme (%)</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110</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72,52</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4,01</w:t>
            </w:r>
          </w:p>
        </w:tc>
        <w:tc>
          <w:tcPr>
            <w:tcW w:w="0" w:type="auto"/>
            <w:shd w:val="clear" w:color="auto" w:fill="FFFFFF" w:themeFill="background1"/>
          </w:tcPr>
          <w:p w:rsidR="00DD59A4" w:rsidRPr="00757EDC" w:rsidRDefault="00DD59A4" w:rsidP="008350ED">
            <w:pPr>
              <w:bidi w:val="0"/>
              <w:jc w:val="center"/>
              <w:cnfStyle w:val="000000000000"/>
              <w:rPr>
                <w:rFonts w:asciiTheme="majorBidi" w:eastAsia="Calibri" w:hAnsiTheme="majorBidi" w:cstheme="majorBidi"/>
                <w:sz w:val="20"/>
                <w:szCs w:val="20"/>
              </w:rPr>
            </w:pPr>
            <w:r w:rsidRPr="00757EDC">
              <w:rPr>
                <w:rFonts w:asciiTheme="majorBidi" w:eastAsia="Calibri" w:hAnsiTheme="majorBidi" w:cstheme="majorBidi"/>
                <w:sz w:val="20"/>
                <w:szCs w:val="20"/>
              </w:rPr>
              <w:t>63,35 – 81,06</w:t>
            </w:r>
          </w:p>
        </w:tc>
      </w:tr>
    </w:tbl>
    <w:p w:rsidR="00DD59A4" w:rsidRDefault="00DD59A4" w:rsidP="00DD59A4">
      <w:pPr>
        <w:bidi w:val="0"/>
        <w:jc w:val="both"/>
        <w:rPr>
          <w:rFonts w:asciiTheme="majorBidi" w:eastAsia="Calibri" w:hAnsiTheme="majorBidi" w:cstheme="majorBidi"/>
          <w:b/>
          <w:bCs/>
          <w:sz w:val="22"/>
          <w:szCs w:val="22"/>
        </w:rPr>
      </w:pPr>
    </w:p>
    <w:p w:rsidR="008757CD" w:rsidRDefault="008757CD" w:rsidP="008757CD">
      <w:pPr>
        <w:bidi w:val="0"/>
        <w:jc w:val="both"/>
        <w:rPr>
          <w:rFonts w:asciiTheme="majorBidi" w:eastAsia="Calibri" w:hAnsiTheme="majorBidi" w:cstheme="majorBidi"/>
          <w:b/>
          <w:bCs/>
          <w:sz w:val="22"/>
          <w:szCs w:val="22"/>
        </w:rPr>
      </w:pPr>
    </w:p>
    <w:p w:rsidR="00757EDC" w:rsidRDefault="004859C0" w:rsidP="004859C0">
      <w:pPr>
        <w:bidi w:val="0"/>
        <w:jc w:val="both"/>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4. DISCUSSION</w:t>
      </w:r>
      <w:r w:rsidR="008757CD">
        <w:rPr>
          <w:rFonts w:asciiTheme="majorBidi" w:eastAsia="Calibri" w:hAnsiTheme="majorBidi" w:cstheme="majorBidi"/>
          <w:b/>
          <w:bCs/>
          <w:sz w:val="22"/>
          <w:szCs w:val="22"/>
        </w:rPr>
        <w:t>S</w:t>
      </w:r>
      <w:r w:rsidRPr="00757EDC">
        <w:rPr>
          <w:rFonts w:asciiTheme="majorBidi" w:eastAsia="Calibri" w:hAnsiTheme="majorBidi" w:cstheme="majorBidi"/>
          <w:b/>
          <w:bCs/>
          <w:sz w:val="22"/>
          <w:szCs w:val="22"/>
        </w:rPr>
        <w:t xml:space="preserve"> </w:t>
      </w:r>
    </w:p>
    <w:p w:rsidR="00757EDC" w:rsidRPr="00757EDC" w:rsidRDefault="008757CD" w:rsidP="008757CD">
      <w:pPr>
        <w:bidi w:val="0"/>
        <w:jc w:val="lowKashida"/>
        <w:rPr>
          <w:rFonts w:asciiTheme="majorBidi" w:eastAsia="Calibri" w:hAnsiTheme="majorBidi" w:cstheme="majorBidi"/>
          <w:sz w:val="22"/>
          <w:szCs w:val="22"/>
        </w:rPr>
      </w:pPr>
      <w:r>
        <w:rPr>
          <w:rFonts w:asciiTheme="majorBidi" w:eastAsia="Calibri" w:hAnsiTheme="majorBidi" w:cstheme="majorBidi"/>
          <w:sz w:val="22"/>
          <w:szCs w:val="22"/>
        </w:rPr>
        <w:t xml:space="preserve">    </w:t>
      </w:r>
      <w:r w:rsidR="00757EDC" w:rsidRPr="00757EDC">
        <w:rPr>
          <w:rFonts w:asciiTheme="majorBidi" w:eastAsia="Calibri" w:hAnsiTheme="majorBidi" w:cstheme="majorBidi"/>
          <w:sz w:val="22"/>
          <w:szCs w:val="22"/>
        </w:rPr>
        <w:t xml:space="preserve">Les Oasis de Biskra sont considérées comme extrême limite des aires de nidification du Merle noir (Heim de Balzac, 1926 ; Etchecopar et Hüe, 1962; Ghezoul, 2005). Selmi </w:t>
      </w:r>
      <w:r>
        <w:rPr>
          <w:rFonts w:asciiTheme="majorBidi" w:eastAsia="Calibri" w:hAnsiTheme="majorBidi" w:cstheme="majorBidi"/>
          <w:i/>
          <w:sz w:val="22"/>
          <w:szCs w:val="22"/>
        </w:rPr>
        <w:t xml:space="preserve">et al. </w:t>
      </w:r>
      <w:r w:rsidR="00757EDC" w:rsidRPr="00757EDC">
        <w:rPr>
          <w:rFonts w:asciiTheme="majorBidi" w:eastAsia="Calibri" w:hAnsiTheme="majorBidi" w:cstheme="majorBidi"/>
          <w:sz w:val="22"/>
          <w:szCs w:val="22"/>
        </w:rPr>
        <w:t xml:space="preserve">(2002) notent que le Merle noir se limite dans les oasis montagneuses de Tunisie avec une nouvelle colonisation vers les palmeraies de Sud. D’après Ludving </w:t>
      </w:r>
      <w:r w:rsidR="00757EDC" w:rsidRPr="00F61A13">
        <w:rPr>
          <w:rFonts w:asciiTheme="majorBidi" w:eastAsia="Calibri" w:hAnsiTheme="majorBidi" w:cstheme="majorBidi"/>
          <w:i/>
          <w:sz w:val="22"/>
          <w:szCs w:val="22"/>
        </w:rPr>
        <w:t>et</w:t>
      </w:r>
      <w:r w:rsidR="00757EDC" w:rsidRPr="00757EDC">
        <w:rPr>
          <w:rFonts w:asciiTheme="majorBidi" w:eastAsia="Calibri" w:hAnsiTheme="majorBidi" w:cstheme="majorBidi"/>
          <w:sz w:val="22"/>
          <w:szCs w:val="22"/>
        </w:rPr>
        <w:t xml:space="preserve"> </w:t>
      </w:r>
      <w:r w:rsidR="00757EDC" w:rsidRPr="00757EDC">
        <w:rPr>
          <w:rFonts w:asciiTheme="majorBidi" w:eastAsia="Calibri" w:hAnsiTheme="majorBidi" w:cstheme="majorBidi"/>
          <w:i/>
          <w:iCs/>
          <w:sz w:val="22"/>
          <w:szCs w:val="22"/>
        </w:rPr>
        <w:t>al</w:t>
      </w:r>
      <w:r w:rsidR="00757EDC" w:rsidRPr="00757EDC">
        <w:rPr>
          <w:rFonts w:asciiTheme="majorBidi" w:eastAsia="Calibri" w:hAnsiTheme="majorBidi" w:cstheme="majorBidi"/>
          <w:sz w:val="22"/>
          <w:szCs w:val="22"/>
        </w:rPr>
        <w:t>., (1994), la densité du Merle noir est plus importante dans les milieux urbains par rapport au formations naturelles (Tab. 4). Effectivement le Merle noir considère les oasis comme un prolongement des forêts naturelles de l’Atlas saharien.</w:t>
      </w:r>
    </w:p>
    <w:p w:rsidR="00757EDC" w:rsidRDefault="00757EDC" w:rsidP="00757EDC">
      <w:pPr>
        <w:bidi w:val="0"/>
        <w:jc w:val="both"/>
        <w:rPr>
          <w:rFonts w:asciiTheme="majorBidi" w:eastAsia="Calibri" w:hAnsiTheme="majorBidi" w:cstheme="majorBidi"/>
          <w:b/>
          <w:bCs/>
          <w:sz w:val="20"/>
          <w:szCs w:val="20"/>
        </w:rPr>
      </w:pPr>
    </w:p>
    <w:p w:rsidR="008757CD" w:rsidRDefault="00757EDC" w:rsidP="00757EDC">
      <w:pPr>
        <w:bidi w:val="0"/>
        <w:jc w:val="both"/>
        <w:rPr>
          <w:rFonts w:asciiTheme="majorBidi" w:eastAsia="Calibri" w:hAnsiTheme="majorBidi" w:cstheme="majorBidi"/>
          <w:bCs/>
          <w:sz w:val="20"/>
          <w:szCs w:val="20"/>
        </w:rPr>
      </w:pPr>
      <w:r w:rsidRPr="00757EDC">
        <w:rPr>
          <w:rFonts w:asciiTheme="majorBidi" w:eastAsia="Calibri" w:hAnsiTheme="majorBidi" w:cstheme="majorBidi"/>
          <w:b/>
          <w:bCs/>
          <w:sz w:val="20"/>
          <w:szCs w:val="20"/>
        </w:rPr>
        <w:t xml:space="preserve">Tableau 4 : </w:t>
      </w:r>
      <w:r w:rsidRPr="008757CD">
        <w:rPr>
          <w:rFonts w:asciiTheme="majorBidi" w:eastAsia="Calibri" w:hAnsiTheme="majorBidi" w:cstheme="majorBidi"/>
          <w:bCs/>
          <w:sz w:val="20"/>
          <w:szCs w:val="20"/>
        </w:rPr>
        <w:t xml:space="preserve">Variation de la densité des populations du Merle noir entre les milieux urbains et naturels de plusieurs localités </w:t>
      </w:r>
    </w:p>
    <w:p w:rsidR="00757EDC" w:rsidRPr="008757CD" w:rsidRDefault="00757EDC" w:rsidP="008757CD">
      <w:pPr>
        <w:bidi w:val="0"/>
        <w:jc w:val="both"/>
        <w:rPr>
          <w:rFonts w:asciiTheme="majorBidi" w:eastAsia="Calibri" w:hAnsiTheme="majorBidi" w:cstheme="majorBidi"/>
          <w:bCs/>
          <w:sz w:val="20"/>
          <w:szCs w:val="20"/>
          <w:lang w:val="en-US"/>
        </w:rPr>
      </w:pPr>
      <w:r w:rsidRPr="008757CD">
        <w:rPr>
          <w:rFonts w:asciiTheme="majorBidi" w:eastAsia="Calibri" w:hAnsiTheme="majorBidi" w:cstheme="majorBidi"/>
          <w:bCs/>
          <w:sz w:val="20"/>
          <w:szCs w:val="20"/>
          <w:lang w:val="en-US"/>
        </w:rPr>
        <w:t>[</w:t>
      </w:r>
      <w:r w:rsidRPr="008757CD">
        <w:rPr>
          <w:rFonts w:asciiTheme="majorBidi" w:eastAsia="Calibri" w:hAnsiTheme="majorBidi" w:cstheme="majorBidi"/>
          <w:bCs/>
          <w:i/>
          <w:iCs/>
          <w:sz w:val="20"/>
          <w:szCs w:val="20"/>
          <w:lang w:val="en-US"/>
        </w:rPr>
        <w:t>Density variation of the Blackbird populations enters urban and natural environments for several localities</w:t>
      </w:r>
      <w:r w:rsidRPr="008757CD">
        <w:rPr>
          <w:rFonts w:asciiTheme="majorBidi" w:eastAsia="Calibri" w:hAnsiTheme="majorBidi" w:cstheme="majorBidi"/>
          <w:bCs/>
          <w:sz w:val="20"/>
          <w:szCs w:val="20"/>
          <w:lang w:val="en-US"/>
        </w:rPr>
        <w:t>]</w:t>
      </w:r>
    </w:p>
    <w:tbl>
      <w:tblPr>
        <w:tblStyle w:val="Ombrageclair"/>
        <w:tblW w:w="5000" w:type="pct"/>
        <w:jc w:val="center"/>
        <w:shd w:val="clear" w:color="auto" w:fill="FFFFFF" w:themeFill="background1"/>
        <w:tblCellMar>
          <w:left w:w="57" w:type="dxa"/>
          <w:right w:w="28" w:type="dxa"/>
        </w:tblCellMar>
        <w:tblLook w:val="04A0"/>
      </w:tblPr>
      <w:tblGrid>
        <w:gridCol w:w="1615"/>
        <w:gridCol w:w="2439"/>
        <w:gridCol w:w="2723"/>
        <w:gridCol w:w="2380"/>
      </w:tblGrid>
      <w:tr w:rsidR="00757EDC" w:rsidRPr="00757EDC" w:rsidTr="004859C0">
        <w:trPr>
          <w:cnfStyle w:val="100000000000"/>
          <w:jc w:val="center"/>
        </w:trPr>
        <w:tc>
          <w:tcPr>
            <w:cnfStyle w:val="001000000000"/>
            <w:tcW w:w="0" w:type="auto"/>
            <w:shd w:val="clear" w:color="auto" w:fill="FFFFFF" w:themeFill="background1"/>
            <w:hideMark/>
          </w:tcPr>
          <w:p w:rsidR="00757EDC" w:rsidRPr="00757EDC" w:rsidRDefault="00757EDC" w:rsidP="00757EDC">
            <w:pPr>
              <w:bidi w:val="0"/>
              <w:jc w:val="both"/>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Type d’habitat </w:t>
            </w:r>
          </w:p>
        </w:tc>
        <w:tc>
          <w:tcPr>
            <w:tcW w:w="0" w:type="auto"/>
            <w:shd w:val="clear" w:color="auto" w:fill="FFFFFF" w:themeFill="background1"/>
            <w:hideMark/>
          </w:tcPr>
          <w:p w:rsidR="00757EDC" w:rsidRPr="00757EDC" w:rsidRDefault="00757EDC" w:rsidP="00757EDC">
            <w:pPr>
              <w:bidi w:val="0"/>
              <w:jc w:val="both"/>
              <w:cnfStyle w:val="1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Auteurs </w:t>
            </w:r>
          </w:p>
        </w:tc>
        <w:tc>
          <w:tcPr>
            <w:tcW w:w="0" w:type="auto"/>
            <w:shd w:val="clear" w:color="auto" w:fill="FFFFFF" w:themeFill="background1"/>
            <w:hideMark/>
          </w:tcPr>
          <w:p w:rsidR="00757EDC" w:rsidRPr="00757EDC" w:rsidRDefault="00757EDC" w:rsidP="00757EDC">
            <w:pPr>
              <w:bidi w:val="0"/>
              <w:jc w:val="both"/>
              <w:cnfStyle w:val="1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Localité </w:t>
            </w:r>
          </w:p>
        </w:tc>
        <w:tc>
          <w:tcPr>
            <w:tcW w:w="0" w:type="auto"/>
            <w:shd w:val="clear" w:color="auto" w:fill="FFFFFF" w:themeFill="background1"/>
            <w:hideMark/>
          </w:tcPr>
          <w:p w:rsidR="00757EDC" w:rsidRPr="00757EDC" w:rsidRDefault="00757EDC" w:rsidP="00757EDC">
            <w:pPr>
              <w:bidi w:val="0"/>
              <w:jc w:val="center"/>
              <w:cnfStyle w:val="1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Densité (couples/10ha)</w:t>
            </w:r>
          </w:p>
        </w:tc>
      </w:tr>
      <w:tr w:rsidR="00757EDC" w:rsidRPr="00757EDC" w:rsidTr="004859C0">
        <w:trPr>
          <w:cnfStyle w:val="000000100000"/>
          <w:jc w:val="center"/>
        </w:trPr>
        <w:tc>
          <w:tcPr>
            <w:cnfStyle w:val="001000000000"/>
            <w:tcW w:w="0" w:type="auto"/>
            <w:vMerge w:val="restart"/>
            <w:shd w:val="clear" w:color="auto" w:fill="FFFFFF" w:themeFill="background1"/>
            <w:vAlign w:val="center"/>
            <w:hideMark/>
          </w:tcPr>
          <w:p w:rsidR="00757EDC" w:rsidRPr="00757EDC" w:rsidRDefault="00757EDC" w:rsidP="00757EDC">
            <w:pPr>
              <w:bidi w:val="0"/>
              <w:jc w:val="center"/>
              <w:rPr>
                <w:rFonts w:asciiTheme="majorBidi" w:eastAsia="Calibri" w:hAnsiTheme="majorBidi" w:cstheme="majorBidi"/>
                <w:b w:val="0"/>
                <w:bCs w:val="0"/>
                <w:color w:val="000000"/>
                <w:sz w:val="20"/>
                <w:szCs w:val="20"/>
              </w:rPr>
            </w:pPr>
            <w:r w:rsidRPr="00757EDC">
              <w:rPr>
                <w:rFonts w:asciiTheme="majorBidi" w:eastAsia="Calibri" w:hAnsiTheme="majorBidi" w:cstheme="majorBidi"/>
                <w:b w:val="0"/>
                <w:bCs w:val="0"/>
                <w:color w:val="000000"/>
                <w:sz w:val="20"/>
                <w:szCs w:val="20"/>
              </w:rPr>
              <w:t>Milieu urbain</w:t>
            </w:r>
          </w:p>
        </w:tc>
        <w:tc>
          <w:tcPr>
            <w:tcW w:w="0" w:type="auto"/>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Havlin, 1963</w:t>
            </w:r>
          </w:p>
        </w:tc>
        <w:tc>
          <w:tcPr>
            <w:tcW w:w="0" w:type="auto"/>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Tchèque  (Brno) </w:t>
            </w:r>
          </w:p>
        </w:tc>
        <w:tc>
          <w:tcPr>
            <w:tcW w:w="0" w:type="auto"/>
            <w:shd w:val="clear" w:color="auto" w:fill="FFFFFF" w:themeFill="background1"/>
            <w:hideMark/>
          </w:tcPr>
          <w:p w:rsidR="00757EDC" w:rsidRPr="00757EDC" w:rsidRDefault="00757EDC" w:rsidP="00757EDC">
            <w:pPr>
              <w:bidi w:val="0"/>
              <w:jc w:val="center"/>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44</w:t>
            </w:r>
          </w:p>
        </w:tc>
      </w:tr>
      <w:tr w:rsidR="00757EDC" w:rsidRPr="00757EDC" w:rsidTr="004859C0">
        <w:trPr>
          <w:jc w:val="center"/>
        </w:trPr>
        <w:tc>
          <w:tcPr>
            <w:cnfStyle w:val="001000000000"/>
            <w:tcW w:w="0" w:type="auto"/>
            <w:vMerge/>
            <w:shd w:val="clear" w:color="auto" w:fill="FFFFFF" w:themeFill="background1"/>
            <w:vAlign w:val="center"/>
            <w:hideMark/>
          </w:tcPr>
          <w:p w:rsidR="00757EDC" w:rsidRPr="00757EDC" w:rsidRDefault="00757EDC" w:rsidP="00757EDC">
            <w:pPr>
              <w:bidi w:val="0"/>
              <w:ind w:firstLine="708"/>
              <w:jc w:val="center"/>
              <w:rPr>
                <w:rFonts w:asciiTheme="majorBidi" w:eastAsia="Calibri" w:hAnsiTheme="majorBidi" w:cstheme="majorBidi"/>
                <w:b w:val="0"/>
                <w:bCs w:val="0"/>
                <w:color w:val="000000"/>
                <w:sz w:val="20"/>
                <w:szCs w:val="20"/>
              </w:rPr>
            </w:pP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Ribaut, 1964</w:t>
            </w: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Suisse (Lausanne) </w:t>
            </w:r>
          </w:p>
        </w:tc>
        <w:tc>
          <w:tcPr>
            <w:tcW w:w="0" w:type="auto"/>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46</w:t>
            </w:r>
          </w:p>
        </w:tc>
      </w:tr>
      <w:tr w:rsidR="00757EDC" w:rsidRPr="00757EDC" w:rsidTr="004859C0">
        <w:trPr>
          <w:cnfStyle w:val="000000100000"/>
          <w:jc w:val="center"/>
        </w:trPr>
        <w:tc>
          <w:tcPr>
            <w:cnfStyle w:val="001000000000"/>
            <w:tcW w:w="0" w:type="auto"/>
            <w:vMerge/>
            <w:shd w:val="clear" w:color="auto" w:fill="FFFFFF" w:themeFill="background1"/>
            <w:vAlign w:val="center"/>
            <w:hideMark/>
          </w:tcPr>
          <w:p w:rsidR="00757EDC" w:rsidRPr="00757EDC" w:rsidRDefault="00757EDC" w:rsidP="00757EDC">
            <w:pPr>
              <w:bidi w:val="0"/>
              <w:ind w:firstLine="708"/>
              <w:jc w:val="center"/>
              <w:rPr>
                <w:rFonts w:asciiTheme="majorBidi" w:eastAsia="Calibri" w:hAnsiTheme="majorBidi" w:cstheme="majorBidi"/>
                <w:b w:val="0"/>
                <w:bCs w:val="0"/>
                <w:color w:val="000000"/>
                <w:sz w:val="20"/>
                <w:szCs w:val="20"/>
              </w:rPr>
            </w:pPr>
          </w:p>
        </w:tc>
        <w:tc>
          <w:tcPr>
            <w:tcW w:w="0" w:type="auto"/>
            <w:shd w:val="clear" w:color="auto" w:fill="FFFFFF" w:themeFill="background1"/>
            <w:hideMark/>
          </w:tcPr>
          <w:p w:rsidR="00757EDC" w:rsidRPr="00757EDC" w:rsidRDefault="00757EDC" w:rsidP="00757EDC">
            <w:pPr>
              <w:bidi w:val="0"/>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Dyrcz, 1969</w:t>
            </w:r>
          </w:p>
        </w:tc>
        <w:tc>
          <w:tcPr>
            <w:tcW w:w="0" w:type="auto"/>
            <w:shd w:val="clear" w:color="auto" w:fill="FFFFFF" w:themeFill="background1"/>
            <w:hideMark/>
          </w:tcPr>
          <w:p w:rsidR="00757EDC" w:rsidRPr="00757EDC" w:rsidRDefault="00757EDC" w:rsidP="00757EDC">
            <w:pPr>
              <w:bidi w:val="0"/>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Pologne  (Wroclaw)</w:t>
            </w:r>
          </w:p>
        </w:tc>
        <w:tc>
          <w:tcPr>
            <w:tcW w:w="0" w:type="auto"/>
            <w:shd w:val="clear" w:color="auto" w:fill="FFFFFF" w:themeFill="background1"/>
            <w:hideMark/>
          </w:tcPr>
          <w:p w:rsidR="00757EDC" w:rsidRPr="00757EDC" w:rsidRDefault="00757EDC" w:rsidP="00757EDC">
            <w:pPr>
              <w:bidi w:val="0"/>
              <w:jc w:val="center"/>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9,6</w:t>
            </w:r>
          </w:p>
        </w:tc>
      </w:tr>
      <w:tr w:rsidR="00757EDC" w:rsidRPr="00757EDC" w:rsidTr="004859C0">
        <w:trPr>
          <w:jc w:val="center"/>
        </w:trPr>
        <w:tc>
          <w:tcPr>
            <w:cnfStyle w:val="001000000000"/>
            <w:tcW w:w="0" w:type="auto"/>
            <w:vMerge/>
            <w:shd w:val="clear" w:color="auto" w:fill="FFFFFF" w:themeFill="background1"/>
            <w:vAlign w:val="center"/>
            <w:hideMark/>
          </w:tcPr>
          <w:p w:rsidR="00757EDC" w:rsidRPr="00757EDC" w:rsidRDefault="00757EDC" w:rsidP="00757EDC">
            <w:pPr>
              <w:bidi w:val="0"/>
              <w:ind w:firstLine="708"/>
              <w:jc w:val="center"/>
              <w:rPr>
                <w:rFonts w:asciiTheme="majorBidi" w:eastAsia="Calibri" w:hAnsiTheme="majorBidi" w:cstheme="majorBidi"/>
                <w:b w:val="0"/>
                <w:bCs w:val="0"/>
                <w:color w:val="000000"/>
                <w:sz w:val="20"/>
                <w:szCs w:val="20"/>
              </w:rPr>
            </w:pP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Snow, 1988</w:t>
            </w: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Angleterre (Oxford) </w:t>
            </w:r>
          </w:p>
        </w:tc>
        <w:tc>
          <w:tcPr>
            <w:tcW w:w="0" w:type="auto"/>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46 – 67</w:t>
            </w:r>
          </w:p>
        </w:tc>
      </w:tr>
      <w:tr w:rsidR="00757EDC" w:rsidRPr="00757EDC" w:rsidTr="004859C0">
        <w:trPr>
          <w:cnfStyle w:val="000000100000"/>
          <w:jc w:val="center"/>
        </w:trPr>
        <w:tc>
          <w:tcPr>
            <w:cnfStyle w:val="001000000000"/>
            <w:tcW w:w="0" w:type="auto"/>
            <w:vMerge/>
            <w:shd w:val="clear" w:color="auto" w:fill="FFFFFF" w:themeFill="background1"/>
            <w:vAlign w:val="center"/>
            <w:hideMark/>
          </w:tcPr>
          <w:p w:rsidR="00757EDC" w:rsidRPr="00757EDC" w:rsidRDefault="00757EDC" w:rsidP="00757EDC">
            <w:pPr>
              <w:bidi w:val="0"/>
              <w:ind w:firstLine="708"/>
              <w:jc w:val="center"/>
              <w:rPr>
                <w:rFonts w:asciiTheme="majorBidi" w:eastAsia="Calibri" w:hAnsiTheme="majorBidi" w:cstheme="majorBidi"/>
                <w:b w:val="0"/>
                <w:bCs w:val="0"/>
                <w:color w:val="000000"/>
                <w:sz w:val="20"/>
                <w:szCs w:val="20"/>
              </w:rPr>
            </w:pPr>
          </w:p>
        </w:tc>
        <w:tc>
          <w:tcPr>
            <w:tcW w:w="0" w:type="auto"/>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Schnack, 1991</w:t>
            </w:r>
          </w:p>
        </w:tc>
        <w:tc>
          <w:tcPr>
            <w:tcW w:w="0" w:type="auto"/>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Autriche (Vienne) </w:t>
            </w:r>
          </w:p>
        </w:tc>
        <w:tc>
          <w:tcPr>
            <w:tcW w:w="0" w:type="auto"/>
            <w:shd w:val="clear" w:color="auto" w:fill="FFFFFF" w:themeFill="background1"/>
            <w:hideMark/>
          </w:tcPr>
          <w:p w:rsidR="00757EDC" w:rsidRPr="00757EDC" w:rsidRDefault="00757EDC" w:rsidP="00757EDC">
            <w:pPr>
              <w:bidi w:val="0"/>
              <w:jc w:val="center"/>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21</w:t>
            </w:r>
          </w:p>
        </w:tc>
      </w:tr>
      <w:tr w:rsidR="00757EDC" w:rsidRPr="00757EDC" w:rsidTr="00DD59A4">
        <w:trPr>
          <w:jc w:val="center"/>
        </w:trPr>
        <w:tc>
          <w:tcPr>
            <w:cnfStyle w:val="001000000000"/>
            <w:tcW w:w="0" w:type="auto"/>
            <w:vMerge/>
            <w:tcBorders>
              <w:bottom w:val="single" w:sz="4" w:space="0" w:color="auto"/>
            </w:tcBorders>
            <w:shd w:val="clear" w:color="auto" w:fill="FFFFFF" w:themeFill="background1"/>
            <w:vAlign w:val="center"/>
            <w:hideMark/>
          </w:tcPr>
          <w:p w:rsidR="00757EDC" w:rsidRPr="00757EDC" w:rsidRDefault="00757EDC" w:rsidP="00757EDC">
            <w:pPr>
              <w:bidi w:val="0"/>
              <w:ind w:firstLine="708"/>
              <w:jc w:val="center"/>
              <w:rPr>
                <w:rFonts w:asciiTheme="majorBidi" w:eastAsia="Calibri" w:hAnsiTheme="majorBidi" w:cstheme="majorBidi"/>
                <w:b w:val="0"/>
                <w:bCs w:val="0"/>
                <w:color w:val="000000"/>
                <w:sz w:val="20"/>
                <w:szCs w:val="20"/>
              </w:rPr>
            </w:pPr>
          </w:p>
        </w:tc>
        <w:tc>
          <w:tcPr>
            <w:tcW w:w="0" w:type="auto"/>
            <w:tcBorders>
              <w:bottom w:val="single" w:sz="4" w:space="0" w:color="auto"/>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Ludving </w:t>
            </w:r>
            <w:r w:rsidRPr="00F61A13">
              <w:rPr>
                <w:rFonts w:asciiTheme="majorBidi" w:eastAsia="Calibri" w:hAnsiTheme="majorBidi" w:cstheme="majorBidi"/>
                <w:i/>
                <w:color w:val="000000"/>
                <w:sz w:val="20"/>
                <w:szCs w:val="20"/>
              </w:rPr>
              <w:t xml:space="preserve">et </w:t>
            </w:r>
            <w:r w:rsidRPr="00757EDC">
              <w:rPr>
                <w:rFonts w:asciiTheme="majorBidi" w:eastAsia="Calibri" w:hAnsiTheme="majorBidi" w:cstheme="majorBidi"/>
                <w:i/>
                <w:iCs/>
                <w:color w:val="000000"/>
                <w:sz w:val="20"/>
                <w:szCs w:val="20"/>
              </w:rPr>
              <w:t>al</w:t>
            </w:r>
            <w:r w:rsidRPr="00757EDC">
              <w:rPr>
                <w:rFonts w:asciiTheme="majorBidi" w:eastAsia="Calibri" w:hAnsiTheme="majorBidi" w:cstheme="majorBidi"/>
                <w:color w:val="000000"/>
                <w:sz w:val="20"/>
                <w:szCs w:val="20"/>
              </w:rPr>
              <w:t>., 1994</w:t>
            </w:r>
          </w:p>
        </w:tc>
        <w:tc>
          <w:tcPr>
            <w:tcW w:w="0" w:type="auto"/>
            <w:tcBorders>
              <w:bottom w:val="single" w:sz="4" w:space="0" w:color="auto"/>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Hongrie (Budapest)  </w:t>
            </w:r>
          </w:p>
        </w:tc>
        <w:tc>
          <w:tcPr>
            <w:tcW w:w="0" w:type="auto"/>
            <w:tcBorders>
              <w:bottom w:val="single" w:sz="4" w:space="0" w:color="auto"/>
            </w:tcBorders>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54 – 62</w:t>
            </w:r>
          </w:p>
        </w:tc>
      </w:tr>
      <w:tr w:rsidR="00757EDC" w:rsidRPr="00757EDC" w:rsidTr="00DD59A4">
        <w:trPr>
          <w:cnfStyle w:val="000000100000"/>
          <w:jc w:val="center"/>
        </w:trPr>
        <w:tc>
          <w:tcPr>
            <w:cnfStyle w:val="001000000000"/>
            <w:tcW w:w="0" w:type="auto"/>
            <w:vMerge w:val="restart"/>
            <w:tcBorders>
              <w:top w:val="single" w:sz="4" w:space="0" w:color="auto"/>
              <w:bottom w:val="nil"/>
            </w:tcBorders>
            <w:shd w:val="clear" w:color="auto" w:fill="FFFFFF" w:themeFill="background1"/>
            <w:vAlign w:val="center"/>
            <w:hideMark/>
          </w:tcPr>
          <w:p w:rsidR="00757EDC" w:rsidRPr="00757EDC" w:rsidRDefault="00757EDC" w:rsidP="00757EDC">
            <w:pPr>
              <w:bidi w:val="0"/>
              <w:jc w:val="center"/>
              <w:rPr>
                <w:rFonts w:asciiTheme="majorBidi" w:eastAsia="Calibri" w:hAnsiTheme="majorBidi" w:cstheme="majorBidi"/>
                <w:b w:val="0"/>
                <w:bCs w:val="0"/>
                <w:color w:val="000000"/>
                <w:sz w:val="20"/>
                <w:szCs w:val="20"/>
              </w:rPr>
            </w:pPr>
            <w:r w:rsidRPr="00757EDC">
              <w:rPr>
                <w:rFonts w:asciiTheme="majorBidi" w:eastAsia="Calibri" w:hAnsiTheme="majorBidi" w:cstheme="majorBidi"/>
                <w:b w:val="0"/>
                <w:bCs w:val="0"/>
                <w:color w:val="000000"/>
                <w:sz w:val="20"/>
                <w:szCs w:val="20"/>
              </w:rPr>
              <w:t>Oasis</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Selmi et Boulinier, 2004</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Tunisie (Oasis sud Tunisie)</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center"/>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1,6</w:t>
            </w:r>
          </w:p>
        </w:tc>
      </w:tr>
      <w:tr w:rsidR="00757EDC" w:rsidRPr="00757EDC" w:rsidTr="00DD59A4">
        <w:trPr>
          <w:jc w:val="center"/>
        </w:trPr>
        <w:tc>
          <w:tcPr>
            <w:cnfStyle w:val="001000000000"/>
            <w:tcW w:w="0" w:type="auto"/>
            <w:vMerge/>
            <w:tcBorders>
              <w:top w:val="nil"/>
            </w:tcBorders>
            <w:shd w:val="clear" w:color="auto" w:fill="FFFFFF" w:themeFill="background1"/>
            <w:vAlign w:val="center"/>
            <w:hideMark/>
          </w:tcPr>
          <w:p w:rsidR="00757EDC" w:rsidRPr="00757EDC" w:rsidRDefault="00757EDC" w:rsidP="00757EDC">
            <w:pPr>
              <w:bidi w:val="0"/>
              <w:jc w:val="center"/>
              <w:rPr>
                <w:rFonts w:asciiTheme="majorBidi" w:eastAsia="Calibri" w:hAnsiTheme="majorBidi" w:cstheme="majorBidi"/>
                <w:b w:val="0"/>
                <w:bCs w:val="0"/>
                <w:color w:val="000000"/>
                <w:sz w:val="20"/>
                <w:szCs w:val="20"/>
              </w:rPr>
            </w:pPr>
          </w:p>
        </w:tc>
        <w:tc>
          <w:tcPr>
            <w:tcW w:w="0" w:type="auto"/>
            <w:tcBorders>
              <w:top w:val="nil"/>
              <w:bottom w:val="nil"/>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Guezoul, 2005</w:t>
            </w:r>
          </w:p>
        </w:tc>
        <w:tc>
          <w:tcPr>
            <w:tcW w:w="0" w:type="auto"/>
            <w:tcBorders>
              <w:top w:val="nil"/>
              <w:bottom w:val="nil"/>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Algérie (Oasis de Biskra)</w:t>
            </w:r>
          </w:p>
        </w:tc>
        <w:tc>
          <w:tcPr>
            <w:tcW w:w="0" w:type="auto"/>
            <w:tcBorders>
              <w:top w:val="nil"/>
              <w:bottom w:val="nil"/>
            </w:tcBorders>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1,3 – 2</w:t>
            </w:r>
          </w:p>
        </w:tc>
      </w:tr>
      <w:tr w:rsidR="00757EDC" w:rsidRPr="00757EDC" w:rsidTr="00DD59A4">
        <w:trPr>
          <w:cnfStyle w:val="000000100000"/>
          <w:jc w:val="center"/>
        </w:trPr>
        <w:tc>
          <w:tcPr>
            <w:cnfStyle w:val="001000000000"/>
            <w:tcW w:w="0" w:type="auto"/>
            <w:vMerge/>
            <w:tcBorders>
              <w:bottom w:val="single" w:sz="4" w:space="0" w:color="auto"/>
            </w:tcBorders>
            <w:shd w:val="clear" w:color="auto" w:fill="FFFFFF" w:themeFill="background1"/>
            <w:vAlign w:val="center"/>
            <w:hideMark/>
          </w:tcPr>
          <w:p w:rsidR="00757EDC" w:rsidRPr="00757EDC" w:rsidRDefault="00757EDC" w:rsidP="00757EDC">
            <w:pPr>
              <w:bidi w:val="0"/>
              <w:jc w:val="center"/>
              <w:rPr>
                <w:rFonts w:asciiTheme="majorBidi" w:eastAsia="Calibri" w:hAnsiTheme="majorBidi" w:cstheme="majorBidi"/>
                <w:b w:val="0"/>
                <w:bCs w:val="0"/>
                <w:color w:val="000000"/>
                <w:sz w:val="20"/>
                <w:szCs w:val="20"/>
              </w:rPr>
            </w:pPr>
          </w:p>
        </w:tc>
        <w:tc>
          <w:tcPr>
            <w:tcW w:w="0" w:type="auto"/>
            <w:tcBorders>
              <w:top w:val="nil"/>
              <w:bottom w:val="single" w:sz="4" w:space="0" w:color="auto"/>
            </w:tcBorders>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Présent travail </w:t>
            </w:r>
          </w:p>
        </w:tc>
        <w:tc>
          <w:tcPr>
            <w:tcW w:w="0" w:type="auto"/>
            <w:tcBorders>
              <w:top w:val="nil"/>
              <w:bottom w:val="single" w:sz="4" w:space="0" w:color="auto"/>
            </w:tcBorders>
            <w:shd w:val="clear" w:color="auto" w:fill="FFFFFF" w:themeFill="background1"/>
            <w:hideMark/>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Algérie (Oasis de Biskra) </w:t>
            </w:r>
          </w:p>
        </w:tc>
        <w:tc>
          <w:tcPr>
            <w:tcW w:w="0" w:type="auto"/>
            <w:tcBorders>
              <w:top w:val="nil"/>
              <w:bottom w:val="single" w:sz="4" w:space="0" w:color="auto"/>
            </w:tcBorders>
            <w:shd w:val="clear" w:color="auto" w:fill="FFFFFF" w:themeFill="background1"/>
            <w:hideMark/>
          </w:tcPr>
          <w:p w:rsidR="00757EDC" w:rsidRPr="00757EDC" w:rsidRDefault="00757EDC" w:rsidP="00757EDC">
            <w:pPr>
              <w:bidi w:val="0"/>
              <w:jc w:val="center"/>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2,3</w:t>
            </w:r>
          </w:p>
        </w:tc>
      </w:tr>
      <w:tr w:rsidR="00757EDC" w:rsidRPr="00757EDC" w:rsidTr="00DD59A4">
        <w:trPr>
          <w:jc w:val="center"/>
        </w:trPr>
        <w:tc>
          <w:tcPr>
            <w:cnfStyle w:val="001000000000"/>
            <w:tcW w:w="0" w:type="auto"/>
            <w:vMerge w:val="restart"/>
            <w:tcBorders>
              <w:top w:val="single" w:sz="4" w:space="0" w:color="auto"/>
              <w:bottom w:val="nil"/>
            </w:tcBorders>
            <w:shd w:val="clear" w:color="auto" w:fill="FFFFFF" w:themeFill="background1"/>
            <w:vAlign w:val="center"/>
            <w:hideMark/>
          </w:tcPr>
          <w:p w:rsidR="00757EDC" w:rsidRPr="00757EDC" w:rsidRDefault="00757EDC" w:rsidP="00757EDC">
            <w:pPr>
              <w:bidi w:val="0"/>
              <w:jc w:val="center"/>
              <w:rPr>
                <w:rFonts w:asciiTheme="majorBidi" w:eastAsia="Calibri" w:hAnsiTheme="majorBidi" w:cstheme="majorBidi"/>
                <w:b w:val="0"/>
                <w:bCs w:val="0"/>
                <w:color w:val="000000"/>
                <w:sz w:val="20"/>
                <w:szCs w:val="20"/>
              </w:rPr>
            </w:pPr>
            <w:r w:rsidRPr="00757EDC">
              <w:rPr>
                <w:rFonts w:asciiTheme="majorBidi" w:eastAsia="Calibri" w:hAnsiTheme="majorBidi" w:cstheme="majorBidi"/>
                <w:b w:val="0"/>
                <w:bCs w:val="0"/>
                <w:color w:val="000000"/>
                <w:sz w:val="20"/>
                <w:szCs w:val="20"/>
              </w:rPr>
              <w:t>Forêt</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Havlin, 1963</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Tchèque (Brno)</w:t>
            </w:r>
          </w:p>
        </w:tc>
        <w:tc>
          <w:tcPr>
            <w:tcW w:w="0" w:type="auto"/>
            <w:tcBorders>
              <w:top w:val="single" w:sz="4" w:space="0" w:color="auto"/>
              <w:bottom w:val="nil"/>
            </w:tcBorders>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12</w:t>
            </w:r>
          </w:p>
        </w:tc>
      </w:tr>
      <w:tr w:rsidR="00757EDC" w:rsidRPr="00757EDC" w:rsidTr="00DD59A4">
        <w:trPr>
          <w:cnfStyle w:val="000000100000"/>
          <w:jc w:val="center"/>
        </w:trPr>
        <w:tc>
          <w:tcPr>
            <w:cnfStyle w:val="001000000000"/>
            <w:tcW w:w="0" w:type="auto"/>
            <w:vMerge/>
            <w:tcBorders>
              <w:top w:val="nil"/>
            </w:tcBorders>
            <w:shd w:val="clear" w:color="auto" w:fill="FFFFFF" w:themeFill="background1"/>
            <w:hideMark/>
          </w:tcPr>
          <w:p w:rsidR="00757EDC" w:rsidRPr="00757EDC" w:rsidRDefault="00757EDC" w:rsidP="00757EDC">
            <w:pPr>
              <w:bidi w:val="0"/>
              <w:jc w:val="center"/>
              <w:rPr>
                <w:rFonts w:asciiTheme="majorBidi" w:eastAsia="Calibri" w:hAnsiTheme="majorBidi" w:cstheme="majorBidi"/>
                <w:color w:val="000000"/>
                <w:sz w:val="20"/>
                <w:szCs w:val="20"/>
              </w:rPr>
            </w:pPr>
          </w:p>
        </w:tc>
        <w:tc>
          <w:tcPr>
            <w:tcW w:w="0" w:type="auto"/>
            <w:tcBorders>
              <w:top w:val="nil"/>
            </w:tcBorders>
            <w:shd w:val="clear" w:color="auto" w:fill="FFFFFF" w:themeFill="background1"/>
            <w:hideMark/>
          </w:tcPr>
          <w:p w:rsidR="00757EDC" w:rsidRPr="00757EDC" w:rsidRDefault="00757EDC" w:rsidP="00757EDC">
            <w:pPr>
              <w:bidi w:val="0"/>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Dyrcz, 1969</w:t>
            </w:r>
          </w:p>
        </w:tc>
        <w:tc>
          <w:tcPr>
            <w:tcW w:w="0" w:type="auto"/>
            <w:tcBorders>
              <w:top w:val="nil"/>
            </w:tcBorders>
            <w:shd w:val="clear" w:color="auto" w:fill="FFFFFF" w:themeFill="background1"/>
            <w:hideMark/>
          </w:tcPr>
          <w:p w:rsidR="00757EDC" w:rsidRPr="00757EDC" w:rsidRDefault="00757EDC" w:rsidP="00757EDC">
            <w:pPr>
              <w:bidi w:val="0"/>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Pologne  (Wroclaw)</w:t>
            </w:r>
          </w:p>
        </w:tc>
        <w:tc>
          <w:tcPr>
            <w:tcW w:w="0" w:type="auto"/>
            <w:tcBorders>
              <w:top w:val="nil"/>
            </w:tcBorders>
            <w:shd w:val="clear" w:color="auto" w:fill="FFFFFF" w:themeFill="background1"/>
            <w:hideMark/>
          </w:tcPr>
          <w:p w:rsidR="00757EDC" w:rsidRPr="00757EDC" w:rsidRDefault="00757EDC" w:rsidP="00757EDC">
            <w:pPr>
              <w:bidi w:val="0"/>
              <w:jc w:val="center"/>
              <w:cnfStyle w:val="000000100000"/>
              <w:rPr>
                <w:rFonts w:asciiTheme="majorBidi" w:hAnsiTheme="majorBidi" w:cstheme="majorBidi"/>
                <w:sz w:val="20"/>
                <w:szCs w:val="20"/>
                <w:lang w:eastAsia="fr-FR"/>
              </w:rPr>
            </w:pPr>
            <w:r w:rsidRPr="00757EDC">
              <w:rPr>
                <w:rFonts w:asciiTheme="majorBidi" w:hAnsiTheme="majorBidi" w:cstheme="majorBidi"/>
                <w:color w:val="000000"/>
                <w:kern w:val="24"/>
                <w:sz w:val="20"/>
                <w:szCs w:val="20"/>
                <w:lang w:eastAsia="fr-FR"/>
              </w:rPr>
              <w:t>1,2</w:t>
            </w:r>
          </w:p>
        </w:tc>
      </w:tr>
      <w:tr w:rsidR="00757EDC" w:rsidRPr="00757EDC" w:rsidTr="004859C0">
        <w:trPr>
          <w:jc w:val="center"/>
        </w:trPr>
        <w:tc>
          <w:tcPr>
            <w:cnfStyle w:val="001000000000"/>
            <w:tcW w:w="0" w:type="auto"/>
            <w:vMerge/>
            <w:shd w:val="clear" w:color="auto" w:fill="FFFFFF" w:themeFill="background1"/>
            <w:hideMark/>
          </w:tcPr>
          <w:p w:rsidR="00757EDC" w:rsidRPr="00757EDC" w:rsidRDefault="00757EDC" w:rsidP="00757EDC">
            <w:pPr>
              <w:bidi w:val="0"/>
              <w:ind w:firstLine="708"/>
              <w:jc w:val="both"/>
              <w:rPr>
                <w:rFonts w:asciiTheme="majorBidi" w:eastAsia="Calibri" w:hAnsiTheme="majorBidi" w:cstheme="majorBidi"/>
                <w:color w:val="000000"/>
                <w:sz w:val="20"/>
                <w:szCs w:val="20"/>
              </w:rPr>
            </w:pP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Blondel </w:t>
            </w:r>
            <w:r w:rsidRPr="00F61A13">
              <w:rPr>
                <w:rFonts w:asciiTheme="majorBidi" w:eastAsia="Calibri" w:hAnsiTheme="majorBidi" w:cstheme="majorBidi"/>
                <w:i/>
                <w:color w:val="000000"/>
                <w:sz w:val="20"/>
                <w:szCs w:val="20"/>
              </w:rPr>
              <w:t>et</w:t>
            </w:r>
            <w:r w:rsidRPr="00757EDC">
              <w:rPr>
                <w:rFonts w:asciiTheme="majorBidi" w:eastAsia="Calibri" w:hAnsiTheme="majorBidi" w:cstheme="majorBidi"/>
                <w:color w:val="000000"/>
                <w:sz w:val="20"/>
                <w:szCs w:val="20"/>
              </w:rPr>
              <w:t xml:space="preserve"> </w:t>
            </w:r>
            <w:r w:rsidRPr="00757EDC">
              <w:rPr>
                <w:rFonts w:asciiTheme="majorBidi" w:eastAsia="Calibri" w:hAnsiTheme="majorBidi" w:cstheme="majorBidi"/>
                <w:i/>
                <w:iCs/>
                <w:color w:val="000000"/>
                <w:sz w:val="20"/>
                <w:szCs w:val="20"/>
              </w:rPr>
              <w:t>al</w:t>
            </w:r>
            <w:r w:rsidRPr="00757EDC">
              <w:rPr>
                <w:rFonts w:asciiTheme="majorBidi" w:eastAsia="Calibri" w:hAnsiTheme="majorBidi" w:cstheme="majorBidi"/>
                <w:color w:val="000000"/>
                <w:sz w:val="20"/>
                <w:szCs w:val="20"/>
              </w:rPr>
              <w:t>., 1988</w:t>
            </w:r>
          </w:p>
        </w:tc>
        <w:tc>
          <w:tcPr>
            <w:tcW w:w="0" w:type="auto"/>
            <w:shd w:val="clear" w:color="auto" w:fill="FFFFFF" w:themeFill="background1"/>
            <w:hideMark/>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France (Provence) </w:t>
            </w:r>
          </w:p>
        </w:tc>
        <w:tc>
          <w:tcPr>
            <w:tcW w:w="0" w:type="auto"/>
            <w:shd w:val="clear" w:color="auto" w:fill="FFFFFF" w:themeFill="background1"/>
            <w:hideMark/>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8</w:t>
            </w:r>
          </w:p>
        </w:tc>
      </w:tr>
      <w:tr w:rsidR="00757EDC" w:rsidRPr="00757EDC" w:rsidTr="004859C0">
        <w:trPr>
          <w:cnfStyle w:val="000000100000"/>
          <w:jc w:val="center"/>
        </w:trPr>
        <w:tc>
          <w:tcPr>
            <w:cnfStyle w:val="001000000000"/>
            <w:tcW w:w="0" w:type="auto"/>
            <w:vMerge/>
            <w:shd w:val="clear" w:color="auto" w:fill="FFFFFF" w:themeFill="background1"/>
          </w:tcPr>
          <w:p w:rsidR="00757EDC" w:rsidRPr="00757EDC" w:rsidRDefault="00757EDC" w:rsidP="00757EDC">
            <w:pPr>
              <w:bidi w:val="0"/>
              <w:ind w:firstLine="708"/>
              <w:jc w:val="both"/>
              <w:rPr>
                <w:rFonts w:asciiTheme="majorBidi" w:eastAsia="Calibri" w:hAnsiTheme="majorBidi" w:cstheme="majorBidi"/>
                <w:color w:val="000000"/>
                <w:sz w:val="20"/>
                <w:szCs w:val="20"/>
              </w:rPr>
            </w:pPr>
          </w:p>
        </w:tc>
        <w:tc>
          <w:tcPr>
            <w:tcW w:w="0" w:type="auto"/>
            <w:shd w:val="clear" w:color="auto" w:fill="FFFFFF" w:themeFill="background1"/>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Blondel </w:t>
            </w:r>
            <w:r w:rsidRPr="00F61A13">
              <w:rPr>
                <w:rFonts w:asciiTheme="majorBidi" w:eastAsia="Calibri" w:hAnsiTheme="majorBidi" w:cstheme="majorBidi"/>
                <w:i/>
                <w:color w:val="000000"/>
                <w:sz w:val="20"/>
                <w:szCs w:val="20"/>
              </w:rPr>
              <w:t>et</w:t>
            </w:r>
            <w:r w:rsidRPr="00757EDC">
              <w:rPr>
                <w:rFonts w:asciiTheme="majorBidi" w:eastAsia="Calibri" w:hAnsiTheme="majorBidi" w:cstheme="majorBidi"/>
                <w:color w:val="000000"/>
                <w:sz w:val="20"/>
                <w:szCs w:val="20"/>
              </w:rPr>
              <w:t xml:space="preserve"> </w:t>
            </w:r>
            <w:r w:rsidRPr="00757EDC">
              <w:rPr>
                <w:rFonts w:asciiTheme="majorBidi" w:eastAsia="Calibri" w:hAnsiTheme="majorBidi" w:cstheme="majorBidi"/>
                <w:i/>
                <w:iCs/>
                <w:color w:val="000000"/>
                <w:sz w:val="20"/>
                <w:szCs w:val="20"/>
              </w:rPr>
              <w:t>al</w:t>
            </w:r>
            <w:r w:rsidRPr="00757EDC">
              <w:rPr>
                <w:rFonts w:asciiTheme="majorBidi" w:eastAsia="Calibri" w:hAnsiTheme="majorBidi" w:cstheme="majorBidi"/>
                <w:color w:val="000000"/>
                <w:sz w:val="20"/>
                <w:szCs w:val="20"/>
              </w:rPr>
              <w:t>., 1988</w:t>
            </w:r>
          </w:p>
        </w:tc>
        <w:tc>
          <w:tcPr>
            <w:tcW w:w="0" w:type="auto"/>
            <w:shd w:val="clear" w:color="auto" w:fill="FFFFFF" w:themeFill="background1"/>
          </w:tcPr>
          <w:p w:rsidR="00757EDC" w:rsidRPr="00757EDC" w:rsidRDefault="00757EDC" w:rsidP="00757EDC">
            <w:pPr>
              <w:bidi w:val="0"/>
              <w:jc w:val="both"/>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France (Corse) </w:t>
            </w:r>
          </w:p>
        </w:tc>
        <w:tc>
          <w:tcPr>
            <w:tcW w:w="0" w:type="auto"/>
            <w:shd w:val="clear" w:color="auto" w:fill="FFFFFF" w:themeFill="background1"/>
          </w:tcPr>
          <w:p w:rsidR="00757EDC" w:rsidRPr="00757EDC" w:rsidRDefault="00757EDC" w:rsidP="00757EDC">
            <w:pPr>
              <w:bidi w:val="0"/>
              <w:jc w:val="center"/>
              <w:cnfStyle w:val="0000001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1,4</w:t>
            </w:r>
          </w:p>
        </w:tc>
      </w:tr>
      <w:tr w:rsidR="00757EDC" w:rsidRPr="00757EDC" w:rsidTr="004859C0">
        <w:trPr>
          <w:jc w:val="center"/>
        </w:trPr>
        <w:tc>
          <w:tcPr>
            <w:cnfStyle w:val="001000000000"/>
            <w:tcW w:w="0" w:type="auto"/>
            <w:vMerge/>
            <w:shd w:val="clear" w:color="auto" w:fill="FFFFFF" w:themeFill="background1"/>
          </w:tcPr>
          <w:p w:rsidR="00757EDC" w:rsidRPr="00757EDC" w:rsidRDefault="00757EDC" w:rsidP="00757EDC">
            <w:pPr>
              <w:bidi w:val="0"/>
              <w:ind w:firstLine="708"/>
              <w:jc w:val="both"/>
              <w:rPr>
                <w:rFonts w:asciiTheme="majorBidi" w:eastAsia="Calibri" w:hAnsiTheme="majorBidi" w:cstheme="majorBidi"/>
                <w:color w:val="000000"/>
                <w:sz w:val="20"/>
                <w:szCs w:val="20"/>
              </w:rPr>
            </w:pPr>
          </w:p>
        </w:tc>
        <w:tc>
          <w:tcPr>
            <w:tcW w:w="0" w:type="auto"/>
            <w:shd w:val="clear" w:color="auto" w:fill="FFFFFF" w:themeFill="background1"/>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Schnack, 1991</w:t>
            </w:r>
          </w:p>
        </w:tc>
        <w:tc>
          <w:tcPr>
            <w:tcW w:w="0" w:type="auto"/>
            <w:shd w:val="clear" w:color="auto" w:fill="FFFFFF" w:themeFill="background1"/>
          </w:tcPr>
          <w:p w:rsidR="00757EDC" w:rsidRPr="00757EDC" w:rsidRDefault="00757EDC" w:rsidP="00757EDC">
            <w:pPr>
              <w:bidi w:val="0"/>
              <w:jc w:val="both"/>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 xml:space="preserve">Autriche (Vienne) </w:t>
            </w:r>
          </w:p>
        </w:tc>
        <w:tc>
          <w:tcPr>
            <w:tcW w:w="0" w:type="auto"/>
            <w:shd w:val="clear" w:color="auto" w:fill="FFFFFF" w:themeFill="background1"/>
          </w:tcPr>
          <w:p w:rsidR="00757EDC" w:rsidRPr="00757EDC" w:rsidRDefault="00757EDC" w:rsidP="00757EDC">
            <w:pPr>
              <w:bidi w:val="0"/>
              <w:jc w:val="center"/>
              <w:cnfStyle w:val="000000000000"/>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rPr>
              <w:t>1</w:t>
            </w:r>
          </w:p>
        </w:tc>
      </w:tr>
    </w:tbl>
    <w:p w:rsidR="00757EDC" w:rsidRPr="00757EDC" w:rsidRDefault="00757EDC" w:rsidP="00757EDC">
      <w:pPr>
        <w:bidi w:val="0"/>
        <w:ind w:firstLine="708"/>
        <w:jc w:val="both"/>
        <w:rPr>
          <w:rFonts w:asciiTheme="majorBidi" w:eastAsia="Calibri" w:hAnsiTheme="majorBidi" w:cstheme="majorBidi"/>
          <w:sz w:val="22"/>
          <w:szCs w:val="22"/>
        </w:rPr>
      </w:pPr>
    </w:p>
    <w:p w:rsidR="00757EDC" w:rsidRPr="00757EDC" w:rsidRDefault="00757EDC" w:rsidP="00757EDC">
      <w:pPr>
        <w:bidi w:val="0"/>
        <w:ind w:firstLine="284"/>
        <w:jc w:val="both"/>
        <w:rPr>
          <w:rFonts w:asciiTheme="majorBidi" w:eastAsia="Calibri" w:hAnsiTheme="majorBidi" w:cstheme="majorBidi"/>
          <w:sz w:val="22"/>
          <w:szCs w:val="22"/>
        </w:rPr>
      </w:pPr>
      <w:r w:rsidRPr="00757EDC">
        <w:rPr>
          <w:rFonts w:asciiTheme="majorBidi" w:eastAsia="Calibri" w:hAnsiTheme="majorBidi" w:cstheme="majorBidi"/>
          <w:sz w:val="22"/>
          <w:szCs w:val="22"/>
        </w:rPr>
        <w:lastRenderedPageBreak/>
        <w:t xml:space="preserve">La hauteur des nids du Merle noir et plus élevées par rapport aux autres populations qui nichent dans le nord de l’Algérie (Khelfaoui, 2007) et de l’Europe (Perez et </w:t>
      </w:r>
      <w:r w:rsidRPr="00757EDC">
        <w:rPr>
          <w:rFonts w:asciiTheme="majorBidi" w:eastAsia="Calibri" w:hAnsiTheme="majorBidi" w:cstheme="majorBidi"/>
          <w:i/>
          <w:iCs/>
          <w:sz w:val="22"/>
          <w:szCs w:val="22"/>
        </w:rPr>
        <w:t>al.</w:t>
      </w:r>
      <w:r w:rsidRPr="00757EDC">
        <w:rPr>
          <w:rFonts w:asciiTheme="majorBidi" w:eastAsia="Calibri" w:hAnsiTheme="majorBidi" w:cstheme="majorBidi"/>
          <w:sz w:val="22"/>
          <w:szCs w:val="22"/>
        </w:rPr>
        <w:t xml:space="preserve">, 1979 ; Snow, 1989), le Merle noir qui niche principalement dans le palmier dattier occupe le cœur, et rarement le croisement des palmes. Le cœur du palmier est en croissance permanente oblige le Merle à augmenter la hauteur de son nid ou de quitter la vielle palmeraie où la hauteur dépasse généralement 7 m. La taille des palmiers représentée par son âge peut être un facteur décisif de la densité des couples nicheurs dans cet habitat, où nous avons enregistré une concentration des couples dans les palmeraies relativement jeunes. </w:t>
      </w:r>
    </w:p>
    <w:p w:rsidR="00757EDC" w:rsidRDefault="00757EDC" w:rsidP="00757EDC">
      <w:pPr>
        <w:bidi w:val="0"/>
        <w:ind w:right="152" w:firstLine="284"/>
        <w:jc w:val="both"/>
        <w:rPr>
          <w:rFonts w:asciiTheme="majorBidi" w:eastAsia="Calibri" w:hAnsiTheme="majorBidi" w:cstheme="majorBidi"/>
          <w:sz w:val="22"/>
          <w:szCs w:val="22"/>
        </w:rPr>
      </w:pPr>
      <w:r w:rsidRPr="00757EDC">
        <w:rPr>
          <w:rFonts w:asciiTheme="majorBidi" w:eastAsia="Calibri" w:hAnsiTheme="majorBidi" w:cstheme="majorBidi"/>
          <w:sz w:val="22"/>
          <w:szCs w:val="22"/>
        </w:rPr>
        <w:t xml:space="preserve">La date est la période de ponte sont comparable aux autres populations (Perez </w:t>
      </w:r>
      <w:r w:rsidRPr="00F61A13">
        <w:rPr>
          <w:rFonts w:asciiTheme="majorBidi" w:eastAsia="Calibri" w:hAnsiTheme="majorBidi" w:cstheme="majorBidi"/>
          <w:i/>
          <w:sz w:val="22"/>
          <w:szCs w:val="22"/>
        </w:rPr>
        <w:t>et</w:t>
      </w:r>
      <w:r w:rsidRPr="00757EDC">
        <w:rPr>
          <w:rFonts w:asciiTheme="majorBidi" w:eastAsia="Calibri" w:hAnsiTheme="majorBidi" w:cstheme="majorBidi"/>
          <w:sz w:val="22"/>
          <w:szCs w:val="22"/>
        </w:rPr>
        <w:t xml:space="preserve"> </w:t>
      </w:r>
      <w:r w:rsidRPr="00757EDC">
        <w:rPr>
          <w:rFonts w:asciiTheme="majorBidi" w:eastAsia="Calibri" w:hAnsiTheme="majorBidi" w:cstheme="majorBidi"/>
          <w:i/>
          <w:iCs/>
          <w:sz w:val="22"/>
          <w:szCs w:val="22"/>
        </w:rPr>
        <w:t>al</w:t>
      </w:r>
      <w:r w:rsidRPr="00757EDC">
        <w:rPr>
          <w:rFonts w:asciiTheme="majorBidi" w:eastAsia="Calibri" w:hAnsiTheme="majorBidi" w:cstheme="majorBidi"/>
          <w:sz w:val="22"/>
          <w:szCs w:val="22"/>
        </w:rPr>
        <w:t>., 1979 ; Snow, 1989 ; Khelfaoui, 2007), par contre,  la grandeur de ponte est plus faible dans les oasis. Ce qui suggère que la population qui niche dans l’extrême sud des aires de distributions (Cramp, 1988), diminue leur investissement dans la grandeur de ponte sous l’action des facteurs écologiques propres à ces habitats relativement artificiels. Les traits des œufs sont entres les fourchettes des données bibliographiques (Paris, 1970 ; Cramp, 1988 ; Khelfaoui, 2007), mais variables au cours de la saison. La masse et le volume des œufs de fin de saisons sont plus élevés par rapport aux couvées précoces, ils sont peut être lié à l’abondance de l’alimentation (Dyrcz, 1969; Török 1985 ; Snow, 1988) ou à la phénologie de la strate végét</w:t>
      </w:r>
      <w:r w:rsidR="00391D67">
        <w:rPr>
          <w:rFonts w:asciiTheme="majorBidi" w:eastAsia="Calibri" w:hAnsiTheme="majorBidi" w:cstheme="majorBidi"/>
          <w:sz w:val="22"/>
          <w:szCs w:val="22"/>
        </w:rPr>
        <w:t>ale occupée (Chabi, 1998).</w:t>
      </w:r>
    </w:p>
    <w:p w:rsidR="00757EDC" w:rsidRPr="00757EDC" w:rsidRDefault="00757EDC" w:rsidP="00757EDC">
      <w:pPr>
        <w:bidi w:val="0"/>
        <w:ind w:right="152" w:firstLine="708"/>
        <w:jc w:val="both"/>
        <w:rPr>
          <w:rFonts w:asciiTheme="majorBidi" w:eastAsia="Calibri" w:hAnsiTheme="majorBidi" w:cstheme="majorBidi"/>
          <w:sz w:val="22"/>
          <w:szCs w:val="22"/>
        </w:rPr>
      </w:pPr>
    </w:p>
    <w:p w:rsidR="00757EDC" w:rsidRPr="00757EDC" w:rsidRDefault="00757EDC" w:rsidP="00757EDC">
      <w:pPr>
        <w:bidi w:val="0"/>
        <w:jc w:val="both"/>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 xml:space="preserve">5. CONCLUSION </w:t>
      </w:r>
    </w:p>
    <w:p w:rsidR="00757EDC" w:rsidRDefault="00757EDC" w:rsidP="00757EDC">
      <w:pPr>
        <w:bidi w:val="0"/>
        <w:ind w:firstLine="284"/>
        <w:jc w:val="both"/>
        <w:rPr>
          <w:rFonts w:asciiTheme="majorBidi" w:eastAsia="Calibri" w:hAnsiTheme="majorBidi" w:cstheme="majorBidi"/>
          <w:sz w:val="22"/>
          <w:szCs w:val="22"/>
        </w:rPr>
      </w:pPr>
      <w:r w:rsidRPr="00757EDC">
        <w:rPr>
          <w:rFonts w:asciiTheme="majorBidi" w:eastAsia="Calibri" w:hAnsiTheme="majorBidi" w:cstheme="majorBidi"/>
          <w:sz w:val="22"/>
          <w:szCs w:val="22"/>
        </w:rPr>
        <w:t>Le Merle noir qui colonise les oasis de sud de l’Atlas saharien présente une grande variation des traits de vie et d’histoire, les performances reproductives sont plus faibles et les modalités d’expansions sont encore à étudier dans ces habitats d’extrême sud des aires de distribution biogéographique.</w:t>
      </w:r>
    </w:p>
    <w:p w:rsidR="00757EDC" w:rsidRPr="00757EDC" w:rsidRDefault="00757EDC" w:rsidP="00757EDC">
      <w:pPr>
        <w:bidi w:val="0"/>
        <w:jc w:val="both"/>
        <w:rPr>
          <w:rFonts w:asciiTheme="majorBidi" w:eastAsia="Calibri" w:hAnsiTheme="majorBidi" w:cstheme="majorBidi"/>
          <w:sz w:val="22"/>
          <w:szCs w:val="22"/>
        </w:rPr>
      </w:pPr>
    </w:p>
    <w:p w:rsidR="00757EDC" w:rsidRDefault="00757EDC" w:rsidP="00757EDC">
      <w:pPr>
        <w:bidi w:val="0"/>
        <w:jc w:val="both"/>
        <w:rPr>
          <w:rFonts w:asciiTheme="majorBidi" w:eastAsia="Calibri" w:hAnsiTheme="majorBidi" w:cstheme="majorBidi"/>
          <w:sz w:val="22"/>
          <w:szCs w:val="22"/>
        </w:rPr>
      </w:pPr>
      <w:r w:rsidRPr="00757EDC">
        <w:rPr>
          <w:rFonts w:asciiTheme="majorBidi" w:eastAsia="Calibri" w:hAnsiTheme="majorBidi" w:cstheme="majorBidi"/>
          <w:b/>
          <w:bCs/>
          <w:sz w:val="22"/>
          <w:szCs w:val="22"/>
        </w:rPr>
        <w:t>REMERCIEMENT</w:t>
      </w:r>
      <w:r w:rsidRPr="00757EDC">
        <w:rPr>
          <w:rFonts w:asciiTheme="majorBidi" w:eastAsia="Calibri" w:hAnsiTheme="majorBidi" w:cstheme="majorBidi"/>
          <w:sz w:val="22"/>
          <w:szCs w:val="22"/>
        </w:rPr>
        <w:t> </w:t>
      </w:r>
    </w:p>
    <w:p w:rsidR="00757EDC" w:rsidRPr="00757EDC" w:rsidRDefault="00757EDC" w:rsidP="00757EDC">
      <w:pPr>
        <w:bidi w:val="0"/>
        <w:ind w:firstLine="284"/>
        <w:jc w:val="both"/>
        <w:rPr>
          <w:rFonts w:asciiTheme="majorBidi" w:hAnsiTheme="majorBidi" w:cstheme="majorBidi"/>
          <w:sz w:val="22"/>
          <w:szCs w:val="22"/>
          <w:lang w:eastAsia="fr-FR"/>
        </w:rPr>
      </w:pPr>
      <w:r w:rsidRPr="00757EDC">
        <w:rPr>
          <w:rFonts w:asciiTheme="majorBidi" w:eastAsia="Calibri" w:hAnsiTheme="majorBidi" w:cstheme="majorBidi"/>
          <w:sz w:val="22"/>
          <w:szCs w:val="22"/>
        </w:rPr>
        <w:t>Ce travail a été réalisé par la collaboration de l’</w:t>
      </w:r>
      <w:r w:rsidRPr="00757EDC">
        <w:rPr>
          <w:rFonts w:asciiTheme="majorBidi" w:hAnsiTheme="majorBidi" w:cstheme="majorBidi"/>
          <w:sz w:val="22"/>
          <w:szCs w:val="22"/>
          <w:lang w:eastAsia="fr-FR"/>
        </w:rPr>
        <w:t>Université Mohamed Khaider-Biskra, Université Amar Telidji-Laghouat et l’Université Badji Mokhtar-Annaba.</w:t>
      </w:r>
    </w:p>
    <w:p w:rsidR="00757EDC" w:rsidRPr="00757EDC" w:rsidRDefault="00757EDC" w:rsidP="00757EDC">
      <w:pPr>
        <w:bidi w:val="0"/>
        <w:jc w:val="both"/>
        <w:rPr>
          <w:rFonts w:asciiTheme="majorBidi" w:eastAsia="Calibri" w:hAnsiTheme="majorBidi" w:cstheme="majorBidi"/>
          <w:sz w:val="22"/>
          <w:szCs w:val="22"/>
        </w:rPr>
      </w:pPr>
    </w:p>
    <w:p w:rsidR="00757EDC" w:rsidRPr="00757EDC" w:rsidRDefault="00757EDC" w:rsidP="00757EDC">
      <w:pPr>
        <w:bidi w:val="0"/>
        <w:jc w:val="both"/>
        <w:rPr>
          <w:rFonts w:asciiTheme="majorBidi" w:eastAsia="Calibri" w:hAnsiTheme="majorBidi" w:cstheme="majorBidi"/>
          <w:b/>
          <w:bCs/>
          <w:sz w:val="22"/>
          <w:szCs w:val="22"/>
        </w:rPr>
      </w:pPr>
      <w:r w:rsidRPr="00757EDC">
        <w:rPr>
          <w:rFonts w:asciiTheme="majorBidi" w:eastAsia="Calibri" w:hAnsiTheme="majorBidi" w:cstheme="majorBidi"/>
          <w:b/>
          <w:bCs/>
          <w:sz w:val="22"/>
          <w:szCs w:val="22"/>
        </w:rPr>
        <w:t xml:space="preserve">REFERENCES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Barroca M., (2005). Hétérogénéité des relations parasites-oiseaux : importance écologique et rôle évolutif. Thèse. Doct.Univ. De Bourgogne. Ecole doctorale Buffo, 172p.</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color w:val="000000"/>
          <w:sz w:val="20"/>
          <w:szCs w:val="20"/>
          <w:lang w:val="en-US"/>
        </w:rPr>
      </w:pPr>
      <w:r w:rsidRPr="00757EDC">
        <w:rPr>
          <w:rFonts w:asciiTheme="majorBidi" w:eastAsia="Calibri" w:hAnsiTheme="majorBidi" w:cstheme="majorBidi"/>
          <w:color w:val="000000"/>
          <w:sz w:val="20"/>
          <w:szCs w:val="20"/>
        </w:rPr>
        <w:t xml:space="preserve">Blondel J., Chessel D. et Frochot B., (1988). </w:t>
      </w:r>
      <w:r w:rsidRPr="00757EDC">
        <w:rPr>
          <w:rFonts w:asciiTheme="majorBidi" w:eastAsia="Calibri" w:hAnsiTheme="majorBidi" w:cstheme="majorBidi"/>
          <w:color w:val="000000"/>
          <w:sz w:val="20"/>
          <w:szCs w:val="20"/>
          <w:lang w:val="en-US"/>
        </w:rPr>
        <w:t xml:space="preserve">Bird spices impoverishment, niche expansion and density inflation in Mediterranean habitats. </w:t>
      </w:r>
      <w:r w:rsidRPr="00757EDC">
        <w:rPr>
          <w:rFonts w:asciiTheme="majorBidi" w:eastAsia="Calibri" w:hAnsiTheme="majorBidi" w:cstheme="majorBidi"/>
          <w:i/>
          <w:iCs/>
          <w:color w:val="000000"/>
          <w:sz w:val="20"/>
          <w:szCs w:val="20"/>
          <w:lang w:val="en-US"/>
        </w:rPr>
        <w:t>Ecology</w:t>
      </w:r>
      <w:r w:rsidRPr="00757EDC">
        <w:rPr>
          <w:rFonts w:asciiTheme="majorBidi" w:eastAsia="Calibri" w:hAnsiTheme="majorBidi" w:cstheme="majorBidi"/>
          <w:color w:val="000000"/>
          <w:sz w:val="20"/>
          <w:szCs w:val="20"/>
          <w:lang w:val="en-US"/>
        </w:rPr>
        <w:t xml:space="preserve"> 69(6): 1899-1917.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lang w:val="en-US" w:bidi="ar-DZ"/>
        </w:rPr>
        <w:t xml:space="preserve">Blondel J., Ferry C. et Frochot B., (1970). </w:t>
      </w:r>
      <w:r w:rsidRPr="00757EDC">
        <w:rPr>
          <w:rFonts w:asciiTheme="majorBidi" w:eastAsia="Calibri" w:hAnsiTheme="majorBidi" w:cstheme="majorBidi"/>
          <w:sz w:val="20"/>
          <w:szCs w:val="20"/>
          <w:lang w:bidi="ar-DZ"/>
        </w:rPr>
        <w:t xml:space="preserve">La méthode des Indices Ponctuels d’Abondances IPA) ou des relevés de l’avifaune par « station d’écoute ». </w:t>
      </w:r>
      <w:r w:rsidRPr="00757EDC">
        <w:rPr>
          <w:rFonts w:asciiTheme="majorBidi" w:eastAsia="Calibri" w:hAnsiTheme="majorBidi" w:cstheme="majorBidi"/>
          <w:i/>
          <w:iCs/>
          <w:sz w:val="20"/>
          <w:szCs w:val="20"/>
          <w:lang w:bidi="ar-DZ"/>
        </w:rPr>
        <w:t>Alauda</w:t>
      </w:r>
      <w:r w:rsidRPr="00757EDC">
        <w:rPr>
          <w:rFonts w:asciiTheme="majorBidi" w:eastAsia="Calibri" w:hAnsiTheme="majorBidi" w:cstheme="majorBidi"/>
          <w:sz w:val="20"/>
          <w:szCs w:val="20"/>
          <w:lang w:bidi="ar-DZ"/>
        </w:rPr>
        <w:t xml:space="preserve"> 38(1) : 55-71</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val="en-US"/>
        </w:rPr>
      </w:pPr>
      <w:r w:rsidRPr="00757EDC">
        <w:rPr>
          <w:rFonts w:asciiTheme="majorBidi" w:eastAsia="Calibri" w:hAnsiTheme="majorBidi" w:cstheme="majorBidi"/>
          <w:sz w:val="20"/>
          <w:szCs w:val="20"/>
        </w:rPr>
        <w:t xml:space="preserve">Chabi Y., 1998. Biologie de la reproduction des Mésanges dans les chênaies du Nord Est de l’Algérie. </w:t>
      </w:r>
      <w:r w:rsidRPr="00757EDC">
        <w:rPr>
          <w:rFonts w:asciiTheme="majorBidi" w:eastAsia="Calibri" w:hAnsiTheme="majorBidi" w:cstheme="majorBidi"/>
          <w:sz w:val="20"/>
          <w:szCs w:val="20"/>
          <w:lang w:val="en-US"/>
        </w:rPr>
        <w:t>Thèse doct. Badji Mokhtar. Annaba, 162p.</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val="en-US"/>
        </w:rPr>
      </w:pPr>
      <w:r w:rsidRPr="00757EDC">
        <w:rPr>
          <w:rFonts w:asciiTheme="majorBidi" w:eastAsia="Calibri" w:hAnsiTheme="majorBidi" w:cstheme="majorBidi"/>
          <w:sz w:val="20"/>
          <w:szCs w:val="20"/>
          <w:lang w:val="en-US"/>
        </w:rPr>
        <w:t xml:space="preserve">Cramp S., (1988). The birds of the Western Palearctic, volume 5. Oxford University Press, Oxford. </w:t>
      </w:r>
    </w:p>
    <w:p w:rsidR="00757EDC" w:rsidRPr="00757EDC" w:rsidRDefault="00757EDC" w:rsidP="00757EDC">
      <w:pPr>
        <w:pStyle w:val="Paragraphedeliste"/>
        <w:numPr>
          <w:ilvl w:val="0"/>
          <w:numId w:val="11"/>
        </w:numPr>
        <w:tabs>
          <w:tab w:val="clear" w:pos="720"/>
        </w:tabs>
        <w:autoSpaceDE w:val="0"/>
        <w:autoSpaceDN w:val="0"/>
        <w:bidi w:val="0"/>
        <w:adjustRightInd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lang w:val="en-US"/>
        </w:rPr>
        <w:t>Dyrcz A., (1969). The ecology of the Song-Thrush (</w:t>
      </w:r>
      <w:r w:rsidRPr="00757EDC">
        <w:rPr>
          <w:rFonts w:asciiTheme="majorBidi" w:eastAsia="Calibri" w:hAnsiTheme="majorBidi" w:cstheme="majorBidi"/>
          <w:i/>
          <w:iCs/>
          <w:sz w:val="20"/>
          <w:szCs w:val="20"/>
          <w:lang w:val="en-US"/>
        </w:rPr>
        <w:t>Turdus</w:t>
      </w:r>
      <w:r w:rsidRPr="00757EDC">
        <w:rPr>
          <w:rFonts w:asciiTheme="majorBidi" w:eastAsia="Calibri" w:hAnsiTheme="majorBidi" w:cstheme="majorBidi"/>
          <w:sz w:val="20"/>
          <w:szCs w:val="20"/>
          <w:lang w:val="en-US"/>
        </w:rPr>
        <w:t xml:space="preserve"> </w:t>
      </w:r>
      <w:r w:rsidRPr="00757EDC">
        <w:rPr>
          <w:rFonts w:asciiTheme="majorBidi" w:eastAsia="Calibri" w:hAnsiTheme="majorBidi" w:cstheme="majorBidi"/>
          <w:i/>
          <w:iCs/>
          <w:sz w:val="20"/>
          <w:szCs w:val="20"/>
          <w:lang w:val="en-US"/>
        </w:rPr>
        <w:t xml:space="preserve">philomelos </w:t>
      </w:r>
      <w:r w:rsidRPr="00757EDC">
        <w:rPr>
          <w:rFonts w:asciiTheme="majorBidi" w:eastAsia="Calibri" w:hAnsiTheme="majorBidi" w:cstheme="majorBidi"/>
          <w:sz w:val="20"/>
          <w:szCs w:val="20"/>
          <w:lang w:val="en-US"/>
        </w:rPr>
        <w:t>BR.) and Blackbird (</w:t>
      </w:r>
      <w:r w:rsidRPr="00757EDC">
        <w:rPr>
          <w:rFonts w:asciiTheme="majorBidi" w:eastAsia="Calibri" w:hAnsiTheme="majorBidi" w:cstheme="majorBidi"/>
          <w:i/>
          <w:iCs/>
          <w:sz w:val="20"/>
          <w:szCs w:val="20"/>
          <w:lang w:val="en-US"/>
        </w:rPr>
        <w:t>Turdus merula</w:t>
      </w:r>
      <w:r w:rsidRPr="00757EDC">
        <w:rPr>
          <w:rFonts w:asciiTheme="majorBidi" w:eastAsia="Calibri" w:hAnsiTheme="majorBidi" w:cstheme="majorBidi"/>
          <w:sz w:val="20"/>
          <w:szCs w:val="20"/>
          <w:lang w:val="en-US"/>
        </w:rPr>
        <w:t xml:space="preserve"> L.) during the breeding season in an area of their joint occurrence. </w:t>
      </w:r>
      <w:r w:rsidRPr="00757EDC">
        <w:rPr>
          <w:rFonts w:asciiTheme="majorBidi" w:eastAsia="Calibri" w:hAnsiTheme="majorBidi" w:cstheme="majorBidi"/>
          <w:i/>
          <w:iCs/>
          <w:sz w:val="20"/>
          <w:szCs w:val="20"/>
        </w:rPr>
        <w:t>Ecolo. Polska Ser.</w:t>
      </w:r>
      <w:r w:rsidRPr="00757EDC">
        <w:rPr>
          <w:rFonts w:asciiTheme="majorBidi" w:eastAsia="Calibri" w:hAnsiTheme="majorBidi" w:cstheme="majorBidi"/>
          <w:sz w:val="20"/>
          <w:szCs w:val="20"/>
        </w:rPr>
        <w:t xml:space="preserve"> A 17: 737-793. </w:t>
      </w:r>
    </w:p>
    <w:p w:rsidR="00757EDC" w:rsidRPr="00757EDC" w:rsidRDefault="00757EDC" w:rsidP="00757EDC">
      <w:pPr>
        <w:pStyle w:val="Paragraphedeliste"/>
        <w:numPr>
          <w:ilvl w:val="0"/>
          <w:numId w:val="11"/>
        </w:numPr>
        <w:tabs>
          <w:tab w:val="clear" w:pos="720"/>
        </w:tabs>
        <w:autoSpaceDE w:val="0"/>
        <w:autoSpaceDN w:val="0"/>
        <w:bidi w:val="0"/>
        <w:adjustRightInd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Etchecopar R. D. et Hüe F., (1964). Les oiseaux du nord de l’Afrique. Ed. N .Boubée et Cie., Paris. 606p.</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Guezoul O., (2005). Reproduction, régime alimentaire et dégâts sur les dattes du moineau hybride </w:t>
      </w:r>
      <w:r w:rsidRPr="00757EDC">
        <w:rPr>
          <w:rFonts w:asciiTheme="majorBidi" w:eastAsia="Calibri" w:hAnsiTheme="majorBidi" w:cstheme="majorBidi"/>
          <w:i/>
          <w:iCs/>
          <w:sz w:val="20"/>
          <w:szCs w:val="20"/>
        </w:rPr>
        <w:t xml:space="preserve">Passer domestucus x P. hispaniolensis </w:t>
      </w:r>
      <w:r w:rsidRPr="00757EDC">
        <w:rPr>
          <w:rFonts w:asciiTheme="majorBidi" w:eastAsia="Calibri" w:hAnsiTheme="majorBidi" w:cstheme="majorBidi"/>
          <w:sz w:val="20"/>
          <w:szCs w:val="20"/>
        </w:rPr>
        <w:t xml:space="preserve">dans une palmeraie à Biskra. Thèse magister INA Alger, 222p.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color w:val="000000"/>
          <w:sz w:val="20"/>
          <w:szCs w:val="20"/>
        </w:rPr>
      </w:pPr>
      <w:r w:rsidRPr="00757EDC">
        <w:rPr>
          <w:rFonts w:asciiTheme="majorBidi" w:eastAsia="Calibri" w:hAnsiTheme="majorBidi" w:cstheme="majorBidi"/>
          <w:color w:val="000000"/>
          <w:sz w:val="20"/>
          <w:szCs w:val="20"/>
          <w:lang w:val="en-US"/>
        </w:rPr>
        <w:t xml:space="preserve">Havlin J., (1963). Reproduction in the Blackbird. </w:t>
      </w:r>
      <w:r w:rsidRPr="00757EDC">
        <w:rPr>
          <w:rFonts w:asciiTheme="majorBidi" w:eastAsia="Calibri" w:hAnsiTheme="majorBidi" w:cstheme="majorBidi"/>
          <w:i/>
          <w:iCs/>
          <w:color w:val="000000"/>
          <w:sz w:val="20"/>
          <w:szCs w:val="20"/>
        </w:rPr>
        <w:t xml:space="preserve">Zool. Listy </w:t>
      </w:r>
      <w:r w:rsidRPr="00757EDC">
        <w:rPr>
          <w:rFonts w:asciiTheme="majorBidi" w:eastAsia="Calibri" w:hAnsiTheme="majorBidi" w:cstheme="majorBidi"/>
          <w:color w:val="000000"/>
          <w:sz w:val="20"/>
          <w:szCs w:val="20"/>
        </w:rPr>
        <w:t xml:space="preserve">12 :195-216.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bidi="ar-DZ"/>
        </w:rPr>
      </w:pPr>
      <w:r w:rsidRPr="00757EDC">
        <w:rPr>
          <w:rFonts w:asciiTheme="majorBidi" w:eastAsia="Calibri" w:hAnsiTheme="majorBidi" w:cstheme="majorBidi"/>
          <w:sz w:val="20"/>
          <w:szCs w:val="20"/>
          <w:lang w:bidi="ar-DZ"/>
        </w:rPr>
        <w:t>Heim de Balzac H., (1926). Contribution à l'ornithologie dans le Sahara central et du Sud algérien. Mémoire. Soc. Hist. Nat. Afr. du Nord, 127p.</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lang w:val="en-US"/>
        </w:rPr>
        <w:t xml:space="preserve">Hoyt D. F., (1979). Pratical methods of estimating volum of fresh weights of birds eggs. </w:t>
      </w:r>
      <w:r w:rsidRPr="00757EDC">
        <w:rPr>
          <w:rFonts w:asciiTheme="majorBidi" w:eastAsia="Calibri" w:hAnsiTheme="majorBidi" w:cstheme="majorBidi"/>
          <w:i/>
          <w:iCs/>
          <w:sz w:val="20"/>
          <w:szCs w:val="20"/>
        </w:rPr>
        <w:t>The</w:t>
      </w:r>
      <w:r w:rsidRPr="00757EDC">
        <w:rPr>
          <w:rFonts w:asciiTheme="majorBidi" w:eastAsia="Calibri" w:hAnsiTheme="majorBidi" w:cstheme="majorBidi"/>
          <w:sz w:val="20"/>
          <w:szCs w:val="20"/>
        </w:rPr>
        <w:t xml:space="preserve"> </w:t>
      </w:r>
      <w:r w:rsidRPr="00757EDC">
        <w:rPr>
          <w:rFonts w:asciiTheme="majorBidi" w:eastAsia="Calibri" w:hAnsiTheme="majorBidi" w:cstheme="majorBidi"/>
          <w:i/>
          <w:iCs/>
          <w:sz w:val="20"/>
          <w:szCs w:val="20"/>
        </w:rPr>
        <w:t>Auk</w:t>
      </w:r>
      <w:r w:rsidRPr="00757EDC">
        <w:rPr>
          <w:rFonts w:asciiTheme="majorBidi" w:eastAsia="Calibri" w:hAnsiTheme="majorBidi" w:cstheme="majorBidi"/>
          <w:sz w:val="20"/>
          <w:szCs w:val="20"/>
        </w:rPr>
        <w:t xml:space="preserve"> 96: 73-77.</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Khelfaoui F., (2007). Etude de la bioécologie parasitaire du Merle noir (</w:t>
      </w:r>
      <w:r w:rsidRPr="00757EDC">
        <w:rPr>
          <w:rFonts w:asciiTheme="majorBidi" w:eastAsia="Calibri" w:hAnsiTheme="majorBidi" w:cstheme="majorBidi"/>
          <w:i/>
          <w:iCs/>
          <w:sz w:val="20"/>
          <w:szCs w:val="20"/>
        </w:rPr>
        <w:t>Turdus merula mauritanicus</w:t>
      </w:r>
      <w:r w:rsidRPr="00757EDC">
        <w:rPr>
          <w:rFonts w:asciiTheme="majorBidi" w:eastAsia="Calibri" w:hAnsiTheme="majorBidi" w:cstheme="majorBidi"/>
          <w:sz w:val="20"/>
          <w:szCs w:val="20"/>
        </w:rPr>
        <w:t xml:space="preserve">) dans le nord- est Algérien. Mémoire Magister  Université d’Annaba, 108p.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val="en-US"/>
        </w:rPr>
      </w:pPr>
      <w:r w:rsidRPr="00757EDC">
        <w:rPr>
          <w:rFonts w:asciiTheme="majorBidi" w:eastAsia="Calibri" w:hAnsiTheme="majorBidi" w:cstheme="majorBidi"/>
          <w:sz w:val="20"/>
          <w:szCs w:val="20"/>
        </w:rPr>
        <w:t xml:space="preserve">Ludvig E., Török L, Vanicsek L. et Csörgo T., (1994). </w:t>
      </w:r>
      <w:r w:rsidRPr="00757EDC">
        <w:rPr>
          <w:rFonts w:asciiTheme="majorBidi" w:eastAsia="Calibri" w:hAnsiTheme="majorBidi" w:cstheme="majorBidi"/>
          <w:sz w:val="20"/>
          <w:szCs w:val="20"/>
          <w:lang w:val="en-US"/>
        </w:rPr>
        <w:t>Territoriality and population regulation in urban Blackbirds (</w:t>
      </w:r>
      <w:r w:rsidRPr="00757EDC">
        <w:rPr>
          <w:rFonts w:asciiTheme="majorBidi" w:eastAsia="Calibri" w:hAnsiTheme="majorBidi" w:cstheme="majorBidi"/>
          <w:i/>
          <w:iCs/>
          <w:sz w:val="20"/>
          <w:szCs w:val="20"/>
          <w:lang w:val="en-US"/>
        </w:rPr>
        <w:t>Turdus merula</w:t>
      </w:r>
      <w:r w:rsidRPr="00757EDC">
        <w:rPr>
          <w:rFonts w:asciiTheme="majorBidi" w:eastAsia="Calibri" w:hAnsiTheme="majorBidi" w:cstheme="majorBidi"/>
          <w:sz w:val="20"/>
          <w:szCs w:val="20"/>
          <w:lang w:val="en-US"/>
        </w:rPr>
        <w:t xml:space="preserve"> L.). </w:t>
      </w:r>
      <w:r w:rsidRPr="00757EDC">
        <w:rPr>
          <w:rFonts w:asciiTheme="majorBidi" w:eastAsia="Calibri" w:hAnsiTheme="majorBidi" w:cstheme="majorBidi"/>
          <w:i/>
          <w:iCs/>
          <w:sz w:val="20"/>
          <w:szCs w:val="20"/>
          <w:lang w:val="en-US"/>
        </w:rPr>
        <w:t>Ornis Hungarica</w:t>
      </w:r>
      <w:r w:rsidRPr="00757EDC">
        <w:rPr>
          <w:rFonts w:asciiTheme="majorBidi" w:eastAsia="Calibri" w:hAnsiTheme="majorBidi" w:cstheme="majorBidi"/>
          <w:sz w:val="20"/>
          <w:szCs w:val="20"/>
          <w:lang w:val="en-US"/>
        </w:rPr>
        <w:t xml:space="preserve"> 4: 1-8. </w:t>
      </w:r>
    </w:p>
    <w:p w:rsidR="00757EDC" w:rsidRPr="00757EDC" w:rsidRDefault="00757EDC" w:rsidP="00757EDC">
      <w:pPr>
        <w:pStyle w:val="Paragraphedeliste"/>
        <w:numPr>
          <w:ilvl w:val="0"/>
          <w:numId w:val="11"/>
        </w:numPr>
        <w:tabs>
          <w:tab w:val="clear" w:pos="720"/>
        </w:tabs>
        <w:autoSpaceDE w:val="0"/>
        <w:autoSpaceDN w:val="0"/>
        <w:bidi w:val="0"/>
        <w:adjustRightInd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Paris P., (1970). Oiseaux (faune de France). Ed. O.C.F, Paris, 477p.</w:t>
      </w:r>
    </w:p>
    <w:p w:rsidR="00757EDC" w:rsidRPr="00757EDC" w:rsidRDefault="00757EDC" w:rsidP="004859C0">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sz w:val="20"/>
          <w:szCs w:val="20"/>
        </w:rPr>
        <w:t xml:space="preserve">Perez E., Fournet M. et Bertran G., 1979. La reproduction du Merle noir en Normandie. </w:t>
      </w:r>
      <w:r w:rsidRPr="00757EDC">
        <w:rPr>
          <w:rFonts w:asciiTheme="majorBidi" w:eastAsia="Calibri" w:hAnsiTheme="majorBidi" w:cstheme="majorBidi"/>
          <w:i/>
          <w:iCs/>
          <w:sz w:val="20"/>
          <w:szCs w:val="20"/>
        </w:rPr>
        <w:t>Cormoran</w:t>
      </w:r>
      <w:r w:rsidRPr="00757EDC">
        <w:rPr>
          <w:rFonts w:asciiTheme="majorBidi" w:eastAsia="Calibri" w:hAnsiTheme="majorBidi" w:cstheme="majorBidi"/>
          <w:sz w:val="20"/>
          <w:szCs w:val="20"/>
        </w:rPr>
        <w:t xml:space="preserve"> 4 : 86-94.</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rPr>
      </w:pPr>
      <w:r w:rsidRPr="00757EDC">
        <w:rPr>
          <w:rFonts w:asciiTheme="majorBidi" w:eastAsia="Calibri" w:hAnsiTheme="majorBidi" w:cstheme="majorBidi"/>
          <w:color w:val="000000"/>
          <w:sz w:val="20"/>
          <w:szCs w:val="20"/>
        </w:rPr>
        <w:t xml:space="preserve">Ribaut J. P., (1964). Dynamique d’une population du Merle noir. </w:t>
      </w:r>
      <w:r w:rsidRPr="00757EDC">
        <w:rPr>
          <w:rFonts w:asciiTheme="majorBidi" w:eastAsia="Calibri" w:hAnsiTheme="majorBidi" w:cstheme="majorBidi"/>
          <w:i/>
          <w:iCs/>
          <w:color w:val="000000"/>
          <w:sz w:val="20"/>
          <w:szCs w:val="20"/>
        </w:rPr>
        <w:t>Rev. Suisse Zool</w:t>
      </w:r>
      <w:r w:rsidRPr="00757EDC">
        <w:rPr>
          <w:rFonts w:asciiTheme="majorBidi" w:eastAsia="Calibri" w:hAnsiTheme="majorBidi" w:cstheme="majorBidi"/>
          <w:color w:val="000000"/>
          <w:sz w:val="20"/>
          <w:szCs w:val="20"/>
        </w:rPr>
        <w:t>. 71 : 815-902.</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val="en-US"/>
        </w:rPr>
      </w:pPr>
      <w:r w:rsidRPr="00757EDC">
        <w:rPr>
          <w:rFonts w:asciiTheme="majorBidi" w:eastAsia="Calibri" w:hAnsiTheme="majorBidi" w:cstheme="majorBidi"/>
          <w:sz w:val="20"/>
          <w:szCs w:val="20"/>
          <w:lang w:val="en-US"/>
        </w:rPr>
        <w:t xml:space="preserve">Schnack S., (1991). The breeding biology and nestling diet of the Blackbird </w:t>
      </w:r>
      <w:r w:rsidRPr="00757EDC">
        <w:rPr>
          <w:rFonts w:asciiTheme="majorBidi" w:eastAsia="Calibri" w:hAnsiTheme="majorBidi" w:cstheme="majorBidi"/>
          <w:i/>
          <w:iCs/>
          <w:sz w:val="20"/>
          <w:szCs w:val="20"/>
          <w:lang w:val="en-US"/>
        </w:rPr>
        <w:t>Turdus merula</w:t>
      </w:r>
      <w:r w:rsidRPr="00757EDC">
        <w:rPr>
          <w:rFonts w:asciiTheme="majorBidi" w:eastAsia="Calibri" w:hAnsiTheme="majorBidi" w:cstheme="majorBidi"/>
          <w:sz w:val="20"/>
          <w:szCs w:val="20"/>
          <w:lang w:val="en-US"/>
        </w:rPr>
        <w:t xml:space="preserve"> L. and the Song Thrush </w:t>
      </w:r>
      <w:r w:rsidRPr="00757EDC">
        <w:rPr>
          <w:rFonts w:asciiTheme="majorBidi" w:eastAsia="Calibri" w:hAnsiTheme="majorBidi" w:cstheme="majorBidi"/>
          <w:i/>
          <w:iCs/>
          <w:sz w:val="20"/>
          <w:szCs w:val="20"/>
          <w:lang w:val="en-US"/>
        </w:rPr>
        <w:t>Turdus philomelos</w:t>
      </w:r>
      <w:r w:rsidRPr="00757EDC">
        <w:rPr>
          <w:rFonts w:asciiTheme="majorBidi" w:eastAsia="Calibri" w:hAnsiTheme="majorBidi" w:cstheme="majorBidi"/>
          <w:sz w:val="20"/>
          <w:szCs w:val="20"/>
          <w:lang w:val="en-US"/>
        </w:rPr>
        <w:t xml:space="preserve"> C.L.Brehm in Vienna and adjacent wood. </w:t>
      </w:r>
      <w:r w:rsidRPr="00757EDC">
        <w:rPr>
          <w:rFonts w:asciiTheme="majorBidi" w:eastAsia="Calibri" w:hAnsiTheme="majorBidi" w:cstheme="majorBidi"/>
          <w:i/>
          <w:iCs/>
          <w:sz w:val="20"/>
          <w:szCs w:val="20"/>
          <w:lang w:val="en-US"/>
        </w:rPr>
        <w:t>Acta Ornithol.</w:t>
      </w:r>
      <w:r w:rsidRPr="00757EDC">
        <w:rPr>
          <w:rFonts w:asciiTheme="majorBidi" w:eastAsia="Calibri" w:hAnsiTheme="majorBidi" w:cstheme="majorBidi"/>
          <w:sz w:val="20"/>
          <w:szCs w:val="20"/>
          <w:lang w:val="en-US"/>
        </w:rPr>
        <w:t xml:space="preserve"> 26: 85-106.  </w:t>
      </w:r>
    </w:p>
    <w:p w:rsidR="00757EDC" w:rsidRPr="00757EDC" w:rsidRDefault="00757EDC" w:rsidP="00757EDC">
      <w:pPr>
        <w:pStyle w:val="Paragraphedeliste"/>
        <w:numPr>
          <w:ilvl w:val="0"/>
          <w:numId w:val="11"/>
        </w:numPr>
        <w:tabs>
          <w:tab w:val="clear" w:pos="720"/>
        </w:tabs>
        <w:autoSpaceDE w:val="0"/>
        <w:autoSpaceDN w:val="0"/>
        <w:bidi w:val="0"/>
        <w:adjustRightInd w:val="0"/>
        <w:ind w:left="426" w:hanging="426"/>
        <w:jc w:val="both"/>
        <w:rPr>
          <w:rFonts w:asciiTheme="majorBidi" w:eastAsia="Calibri" w:hAnsiTheme="majorBidi" w:cstheme="majorBidi"/>
          <w:color w:val="000000"/>
          <w:sz w:val="20"/>
          <w:szCs w:val="20"/>
          <w:lang w:val="en-US"/>
        </w:rPr>
      </w:pPr>
      <w:r w:rsidRPr="00757EDC">
        <w:rPr>
          <w:rFonts w:asciiTheme="majorBidi" w:eastAsia="Calibri" w:hAnsiTheme="majorBidi" w:cstheme="majorBidi"/>
          <w:color w:val="000000"/>
          <w:sz w:val="20"/>
          <w:szCs w:val="20"/>
        </w:rPr>
        <w:lastRenderedPageBreak/>
        <w:t xml:space="preserve">Selmi S. et Boulinier T., (2004). </w:t>
      </w:r>
      <w:r w:rsidRPr="00757EDC">
        <w:rPr>
          <w:rFonts w:asciiTheme="majorBidi" w:eastAsia="Calibri" w:hAnsiTheme="majorBidi" w:cstheme="majorBidi"/>
          <w:color w:val="000000"/>
          <w:sz w:val="20"/>
          <w:szCs w:val="20"/>
          <w:lang w:val="en-US"/>
        </w:rPr>
        <w:t xml:space="preserve">Distribution-abundance relationship for passerines breeding in Tunisian oases: test of the sampling hypothesis. </w:t>
      </w:r>
      <w:r w:rsidRPr="00757EDC">
        <w:rPr>
          <w:rFonts w:asciiTheme="majorBidi" w:eastAsia="Calibri" w:hAnsiTheme="majorBidi" w:cstheme="majorBidi"/>
          <w:i/>
          <w:iCs/>
          <w:color w:val="000000"/>
          <w:sz w:val="20"/>
          <w:szCs w:val="20"/>
          <w:lang w:val="en-US"/>
        </w:rPr>
        <w:t>Oecologia</w:t>
      </w:r>
      <w:r w:rsidRPr="00757EDC">
        <w:rPr>
          <w:rFonts w:asciiTheme="majorBidi" w:eastAsia="Calibri" w:hAnsiTheme="majorBidi" w:cstheme="majorBidi"/>
          <w:color w:val="000000"/>
          <w:sz w:val="20"/>
          <w:szCs w:val="20"/>
          <w:lang w:val="en-US"/>
        </w:rPr>
        <w:t xml:space="preserve"> 139: 440-445. </w:t>
      </w:r>
    </w:p>
    <w:p w:rsidR="00757EDC" w:rsidRPr="00757EDC" w:rsidRDefault="00757EDC" w:rsidP="00757EDC">
      <w:pPr>
        <w:pStyle w:val="Paragraphedeliste"/>
        <w:numPr>
          <w:ilvl w:val="0"/>
          <w:numId w:val="11"/>
        </w:numPr>
        <w:tabs>
          <w:tab w:val="clear" w:pos="720"/>
        </w:tabs>
        <w:bidi w:val="0"/>
        <w:ind w:left="426" w:hanging="426"/>
        <w:jc w:val="both"/>
        <w:rPr>
          <w:rFonts w:asciiTheme="majorBidi" w:eastAsia="Calibri" w:hAnsiTheme="majorBidi" w:cstheme="majorBidi"/>
          <w:sz w:val="20"/>
          <w:szCs w:val="20"/>
          <w:lang w:val="en-US"/>
        </w:rPr>
      </w:pPr>
      <w:r w:rsidRPr="00757EDC">
        <w:rPr>
          <w:rFonts w:asciiTheme="majorBidi" w:eastAsia="Calibri" w:hAnsiTheme="majorBidi" w:cstheme="majorBidi"/>
          <w:sz w:val="20"/>
          <w:szCs w:val="20"/>
        </w:rPr>
        <w:t xml:space="preserve">Selmi S., Boulinier T et Barbault R., 2002. </w:t>
      </w:r>
      <w:r w:rsidRPr="00757EDC">
        <w:rPr>
          <w:rFonts w:asciiTheme="majorBidi" w:eastAsia="Calibri" w:hAnsiTheme="majorBidi" w:cstheme="majorBidi"/>
          <w:sz w:val="20"/>
          <w:szCs w:val="20"/>
          <w:lang w:val="en-US"/>
        </w:rPr>
        <w:t xml:space="preserve">Richness and Composition of Oasis Bird Communities: Spatial Issues and Species–Area Relationships. </w:t>
      </w:r>
      <w:r w:rsidRPr="00757EDC">
        <w:rPr>
          <w:rFonts w:asciiTheme="majorBidi" w:eastAsia="Calibri" w:hAnsiTheme="majorBidi" w:cstheme="majorBidi"/>
          <w:i/>
          <w:iCs/>
          <w:sz w:val="20"/>
          <w:szCs w:val="20"/>
          <w:lang w:val="en-US"/>
        </w:rPr>
        <w:t>The Auk.</w:t>
      </w:r>
      <w:r w:rsidRPr="00757EDC">
        <w:rPr>
          <w:rFonts w:asciiTheme="majorBidi" w:eastAsia="Calibri" w:hAnsiTheme="majorBidi" w:cstheme="majorBidi"/>
          <w:sz w:val="20"/>
          <w:szCs w:val="20"/>
          <w:lang w:val="en-US"/>
        </w:rPr>
        <w:t xml:space="preserve"> 119(2): 533 – 539.</w:t>
      </w:r>
    </w:p>
    <w:p w:rsidR="00757EDC" w:rsidRPr="00A50C9B" w:rsidRDefault="00757EDC" w:rsidP="00757EDC">
      <w:pPr>
        <w:pStyle w:val="Paragraphedeliste"/>
        <w:numPr>
          <w:ilvl w:val="0"/>
          <w:numId w:val="11"/>
        </w:numPr>
        <w:tabs>
          <w:tab w:val="clear" w:pos="720"/>
        </w:tabs>
        <w:bidi w:val="0"/>
        <w:ind w:left="426" w:hanging="426"/>
        <w:jc w:val="both"/>
        <w:rPr>
          <w:sz w:val="18"/>
          <w:szCs w:val="18"/>
          <w:lang w:val="en-CA" w:bidi="ar-DZ"/>
        </w:rPr>
      </w:pPr>
      <w:r w:rsidRPr="00757EDC">
        <w:rPr>
          <w:rFonts w:asciiTheme="majorBidi" w:eastAsia="Calibri" w:hAnsiTheme="majorBidi" w:cstheme="majorBidi"/>
          <w:sz w:val="20"/>
          <w:szCs w:val="20"/>
          <w:lang w:val="en-US"/>
        </w:rPr>
        <w:t>Snow D. W., (1988). A Study of Blackbirds. 2</w:t>
      </w:r>
      <w:r w:rsidRPr="00757EDC">
        <w:rPr>
          <w:rFonts w:asciiTheme="majorBidi" w:eastAsia="Calibri" w:hAnsiTheme="majorBidi" w:cstheme="majorBidi"/>
          <w:sz w:val="20"/>
          <w:szCs w:val="20"/>
          <w:vertAlign w:val="superscript"/>
          <w:lang w:val="en-US"/>
        </w:rPr>
        <w:t>nd</w:t>
      </w:r>
      <w:r w:rsidRPr="00757EDC">
        <w:rPr>
          <w:rFonts w:asciiTheme="majorBidi" w:eastAsia="Calibri" w:hAnsiTheme="majorBidi" w:cstheme="majorBidi"/>
          <w:sz w:val="20"/>
          <w:szCs w:val="20"/>
          <w:lang w:val="en-US"/>
        </w:rPr>
        <w:t xml:space="preserve"> ed. British Musium (Naturel History), London, 196p. </w:t>
      </w:r>
    </w:p>
    <w:p w:rsidR="00757EDC" w:rsidRPr="00757EDC" w:rsidRDefault="00757EDC" w:rsidP="00757EDC">
      <w:pPr>
        <w:pStyle w:val="Paragraphedeliste"/>
        <w:numPr>
          <w:ilvl w:val="0"/>
          <w:numId w:val="11"/>
        </w:numPr>
        <w:tabs>
          <w:tab w:val="clear" w:pos="720"/>
        </w:tabs>
        <w:bidi w:val="0"/>
        <w:ind w:left="426" w:hanging="426"/>
        <w:jc w:val="both"/>
        <w:rPr>
          <w:sz w:val="18"/>
          <w:szCs w:val="18"/>
          <w:lang w:bidi="ar-DZ"/>
        </w:rPr>
      </w:pPr>
      <w:r w:rsidRPr="00757EDC">
        <w:rPr>
          <w:rFonts w:asciiTheme="majorBidi" w:eastAsia="Calibri" w:hAnsiTheme="majorBidi" w:cstheme="majorBidi"/>
          <w:sz w:val="20"/>
          <w:szCs w:val="20"/>
          <w:lang w:val="en-US"/>
        </w:rPr>
        <w:t xml:space="preserve">Török J., (1981). Food composition of Nestling Blackbirds in Oak Forest Bordering on an Orchard. Opusc. </w:t>
      </w:r>
      <w:r w:rsidRPr="00757EDC">
        <w:rPr>
          <w:rFonts w:asciiTheme="majorBidi" w:eastAsia="Calibri" w:hAnsiTheme="majorBidi" w:cstheme="majorBidi"/>
          <w:i/>
          <w:iCs/>
          <w:sz w:val="20"/>
          <w:szCs w:val="20"/>
          <w:lang w:val="en-US"/>
        </w:rPr>
        <w:t>Zool. Budapest</w:t>
      </w:r>
      <w:r w:rsidRPr="00757EDC">
        <w:rPr>
          <w:rFonts w:asciiTheme="majorBidi" w:eastAsia="Calibri" w:hAnsiTheme="majorBidi" w:cstheme="majorBidi"/>
          <w:sz w:val="20"/>
          <w:szCs w:val="20"/>
          <w:lang w:val="en-US"/>
        </w:rPr>
        <w:t xml:space="preserve"> 17-18: 145-156.</w:t>
      </w:r>
    </w:p>
    <w:sectPr w:rsidR="00757EDC" w:rsidRPr="00757EDC" w:rsidSect="00BE3950">
      <w:headerReference w:type="even" r:id="rId11"/>
      <w:headerReference w:type="default" r:id="rId12"/>
      <w:footerReference w:type="even" r:id="rId13"/>
      <w:footerReference w:type="default" r:id="rId14"/>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AB" w:rsidRDefault="00806AAB">
      <w:r>
        <w:separator/>
      </w:r>
    </w:p>
  </w:endnote>
  <w:endnote w:type="continuationSeparator" w:id="1">
    <w:p w:rsidR="00806AAB" w:rsidRDefault="0080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7E" w:rsidRDefault="000A4C70" w:rsidP="00EF61A9">
    <w:pPr>
      <w:pStyle w:val="Pieddepage"/>
      <w:tabs>
        <w:tab w:val="clear" w:pos="9072"/>
        <w:tab w:val="right" w:pos="9214"/>
      </w:tabs>
      <w:bidi w:val="0"/>
      <w:rPr>
        <w:rStyle w:val="Numrodepage"/>
        <w:smallCaps/>
        <w:sz w:val="16"/>
        <w:szCs w:val="16"/>
      </w:rPr>
    </w:pPr>
    <w:r>
      <w:rPr>
        <w:rStyle w:val="Numrodepage"/>
      </w:rPr>
      <w:fldChar w:fldCharType="begin"/>
    </w:r>
    <w:r w:rsidR="002F2CA3">
      <w:rPr>
        <w:rStyle w:val="Numrodepage"/>
      </w:rPr>
      <w:instrText xml:space="preserve">PAGE  </w:instrText>
    </w:r>
    <w:r>
      <w:rPr>
        <w:rStyle w:val="Numrodepage"/>
      </w:rPr>
      <w:fldChar w:fldCharType="separate"/>
    </w:r>
    <w:r w:rsidR="005C762D">
      <w:rPr>
        <w:rStyle w:val="Numrodepage"/>
        <w:noProof/>
      </w:rPr>
      <w:t>6</w:t>
    </w:r>
    <w:r>
      <w:rPr>
        <w:rStyle w:val="Numrodepage"/>
      </w:rPr>
      <w:fldChar w:fldCharType="end"/>
    </w:r>
    <w:r w:rsidR="002F2CA3">
      <w:rPr>
        <w:rStyle w:val="Numrodepage"/>
      </w:rPr>
      <w:tab/>
    </w:r>
    <w:r w:rsidR="002F2CA3">
      <w:rPr>
        <w:rStyle w:val="Numrodepage"/>
      </w:rPr>
      <w:tab/>
    </w:r>
    <w:r w:rsidR="003C610A" w:rsidRPr="0022560B">
      <w:rPr>
        <w:rFonts w:cstheme="majorBidi"/>
        <w:smallCaps/>
        <w:sz w:val="16"/>
        <w:szCs w:val="22"/>
      </w:rPr>
      <w:t>Adamou A., Tabibe R., Kouidri M. &amp; Ouakid M.L</w:t>
    </w:r>
    <w:r w:rsidR="003C610A" w:rsidRPr="0022560B">
      <w:rPr>
        <w:rFonts w:asciiTheme="majorBidi" w:hAnsiTheme="majorBidi" w:cstheme="majorBidi"/>
        <w:sz w:val="16"/>
        <w:szCs w:val="22"/>
      </w:rPr>
      <w:t>.</w:t>
    </w:r>
    <w:r w:rsidR="003C610A" w:rsidRPr="003C610A">
      <w:rPr>
        <w:rStyle w:val="Numrodepage"/>
        <w:smallCaps/>
        <w:sz w:val="16"/>
        <w:szCs w:val="16"/>
      </w:rPr>
      <w:t xml:space="preserve"> </w:t>
    </w:r>
    <w:r w:rsidR="003C610A">
      <w:rPr>
        <w:rStyle w:val="Numrodepage"/>
        <w:smallCaps/>
        <w:sz w:val="16"/>
        <w:szCs w:val="16"/>
      </w:rPr>
      <w:t>(2010)</w:t>
    </w:r>
    <w:r w:rsidR="00EF61A9">
      <w:rPr>
        <w:rStyle w:val="Numrodepage"/>
        <w:smallCaps/>
        <w:sz w:val="16"/>
        <w:szCs w:val="16"/>
      </w:rPr>
      <w:t xml:space="preserve"> </w:t>
    </w:r>
  </w:p>
  <w:p w:rsidR="0022560B" w:rsidRPr="0022560B" w:rsidRDefault="0022560B" w:rsidP="0022560B">
    <w:pPr>
      <w:pStyle w:val="Pieddepage"/>
      <w:tabs>
        <w:tab w:val="clear" w:pos="9072"/>
        <w:tab w:val="right" w:pos="9214"/>
      </w:tabs>
      <w:bidi w:val="0"/>
      <w:rPr>
        <w:smallCaps/>
        <w:sz w:val="10"/>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7E" w:rsidRPr="002F2CA3" w:rsidRDefault="0022560B" w:rsidP="00E118A7">
    <w:pPr>
      <w:pStyle w:val="Pieddepage"/>
      <w:tabs>
        <w:tab w:val="clear" w:pos="4536"/>
        <w:tab w:val="clear" w:pos="9072"/>
        <w:tab w:val="center" w:pos="5245"/>
        <w:tab w:val="right" w:pos="9214"/>
      </w:tabs>
      <w:bidi w:val="0"/>
      <w:jc w:val="both"/>
      <w:rPr>
        <w:lang w:val="fr-CA"/>
      </w:rPr>
    </w:pPr>
    <w:r>
      <w:rPr>
        <w:rStyle w:val="Numrodepage"/>
        <w:sz w:val="16"/>
        <w:szCs w:val="16"/>
        <w:lang w:val="fr-CA"/>
      </w:rPr>
      <w:t xml:space="preserve">Biologie de la reproduction de </w:t>
    </w:r>
    <w:r w:rsidRPr="0022560B">
      <w:rPr>
        <w:rStyle w:val="Numrodepage"/>
        <w:i/>
        <w:sz w:val="16"/>
        <w:szCs w:val="16"/>
        <w:lang w:val="fr-CA"/>
      </w:rPr>
      <w:t>T. merula</w:t>
    </w:r>
    <w:r w:rsidR="002F2CA3" w:rsidRPr="00F172B9">
      <w:rPr>
        <w:rStyle w:val="Numrodepage"/>
        <w:sz w:val="16"/>
        <w:szCs w:val="16"/>
        <w:lang w:val="fr-CA"/>
      </w:rPr>
      <w:tab/>
    </w:r>
    <w:r w:rsidR="002F2CA3">
      <w:rPr>
        <w:rStyle w:val="Numrodepage"/>
        <w:sz w:val="16"/>
        <w:szCs w:val="16"/>
        <w:lang w:val="fr-CA"/>
      </w:rPr>
      <w:tab/>
    </w:r>
    <w:r w:rsidR="000A4C70">
      <w:rPr>
        <w:rStyle w:val="Numrodepage"/>
      </w:rPr>
      <w:fldChar w:fldCharType="begin"/>
    </w:r>
    <w:r w:rsidR="002F2CA3" w:rsidRPr="00F172B9">
      <w:rPr>
        <w:rStyle w:val="Numrodepage"/>
        <w:lang w:val="fr-CA"/>
      </w:rPr>
      <w:instrText xml:space="preserve">PAGE  </w:instrText>
    </w:r>
    <w:r w:rsidR="000A4C70">
      <w:rPr>
        <w:rStyle w:val="Numrodepage"/>
      </w:rPr>
      <w:fldChar w:fldCharType="separate"/>
    </w:r>
    <w:r w:rsidR="005C762D">
      <w:rPr>
        <w:rStyle w:val="Numrodepage"/>
        <w:noProof/>
      </w:rPr>
      <w:t>1</w:t>
    </w:r>
    <w:r w:rsidR="000A4C70">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AB" w:rsidRDefault="00806AAB">
      <w:r>
        <w:separator/>
      </w:r>
    </w:p>
  </w:footnote>
  <w:footnote w:type="continuationSeparator" w:id="1">
    <w:p w:rsidR="00806AAB" w:rsidRDefault="0080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A3" w:rsidRPr="003A6013" w:rsidRDefault="003A6013" w:rsidP="003A6013">
    <w:pPr>
      <w:pStyle w:val="En-tte"/>
      <w:bidi w:val="0"/>
      <w:rPr>
        <w:i/>
        <w:sz w:val="32"/>
        <w:szCs w:val="16"/>
      </w:rPr>
    </w:pPr>
    <w:r w:rsidRPr="003A6013">
      <w:rPr>
        <w:rFonts w:asciiTheme="majorBidi" w:hAnsiTheme="majorBidi" w:cs="Aharoni"/>
        <w:i/>
        <w:color w:val="A6A6A6" w:themeColor="background1" w:themeShade="A6"/>
        <w:sz w:val="20"/>
        <w:szCs w:val="16"/>
      </w:rPr>
      <w:t>Actes du Séminaire International sur la Biodiversité Faunistique en Zones Arides et Semi-arides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4A" w:rsidRDefault="002F2CA3" w:rsidP="00F85F4A">
    <w:pPr>
      <w:autoSpaceDE w:val="0"/>
      <w:autoSpaceDN w:val="0"/>
      <w:adjustRightInd w:val="0"/>
      <w:jc w:val="center"/>
      <w:rPr>
        <w:sz w:val="16"/>
        <w:szCs w:val="16"/>
      </w:rPr>
    </w:pPr>
    <w:r w:rsidRPr="00EA3993">
      <w:rPr>
        <w:sz w:val="16"/>
        <w:szCs w:val="16"/>
      </w:rPr>
      <w:tab/>
    </w:r>
  </w:p>
  <w:p w:rsidR="00F85F4A" w:rsidRDefault="00F85F4A" w:rsidP="003A6013">
    <w:pPr>
      <w:autoSpaceDE w:val="0"/>
      <w:autoSpaceDN w:val="0"/>
      <w:bidi w:val="0"/>
      <w:adjustRightInd w:val="0"/>
      <w:rPr>
        <w:rFonts w:asciiTheme="majorBidi" w:hAnsiTheme="majorBidi" w:cs="Aharoni"/>
        <w:i/>
        <w:color w:val="A6A6A6" w:themeColor="background1" w:themeShade="A6"/>
        <w:sz w:val="20"/>
        <w:szCs w:val="16"/>
      </w:rPr>
    </w:pPr>
    <w:r w:rsidRPr="003A6013">
      <w:rPr>
        <w:rFonts w:asciiTheme="majorBidi" w:hAnsiTheme="majorBidi" w:cs="Aharoni"/>
        <w:i/>
        <w:color w:val="A6A6A6" w:themeColor="background1" w:themeShade="A6"/>
        <w:sz w:val="20"/>
        <w:szCs w:val="16"/>
      </w:rPr>
      <w:t>Actes du Séminaire International sur la Biodiversit</w:t>
    </w:r>
    <w:r w:rsidR="00456EC8" w:rsidRPr="003A6013">
      <w:rPr>
        <w:rFonts w:asciiTheme="majorBidi" w:hAnsiTheme="majorBidi" w:cs="Aharoni"/>
        <w:i/>
        <w:color w:val="A6A6A6" w:themeColor="background1" w:themeShade="A6"/>
        <w:sz w:val="20"/>
        <w:szCs w:val="16"/>
      </w:rPr>
      <w:t>é</w:t>
    </w:r>
    <w:r w:rsidRPr="003A6013">
      <w:rPr>
        <w:rFonts w:asciiTheme="majorBidi" w:hAnsiTheme="majorBidi" w:cs="Aharoni"/>
        <w:i/>
        <w:color w:val="A6A6A6" w:themeColor="background1" w:themeShade="A6"/>
        <w:sz w:val="20"/>
        <w:szCs w:val="16"/>
      </w:rPr>
      <w:t xml:space="preserve"> Faunistique en Zones Arides et Semi-arides</w:t>
    </w:r>
  </w:p>
  <w:p w:rsidR="005C762D" w:rsidRPr="003A6013" w:rsidRDefault="005C762D" w:rsidP="005C762D">
    <w:pPr>
      <w:autoSpaceDE w:val="0"/>
      <w:autoSpaceDN w:val="0"/>
      <w:bidi w:val="0"/>
      <w:adjustRightInd w:val="0"/>
      <w:jc w:val="right"/>
      <w:rPr>
        <w:rFonts w:asciiTheme="majorBidi" w:hAnsiTheme="majorBidi" w:cs="Aharoni"/>
        <w:i/>
        <w:color w:val="A6A6A6" w:themeColor="background1" w:themeShade="A6"/>
        <w:sz w:val="22"/>
        <w:szCs w:val="18"/>
      </w:rPr>
    </w:pPr>
    <w:r>
      <w:rPr>
        <w:rFonts w:asciiTheme="majorBidi" w:hAnsiTheme="majorBidi" w:cs="Aharoni"/>
        <w:i/>
        <w:color w:val="A6A6A6" w:themeColor="background1" w:themeShade="A6"/>
        <w:sz w:val="20"/>
        <w:szCs w:val="16"/>
      </w:rPr>
      <w:t>Université Kasdi Merbah Ouargla</w:t>
    </w:r>
  </w:p>
  <w:p w:rsidR="002F2CA3" w:rsidRPr="00F85F4A" w:rsidRDefault="002F2CA3" w:rsidP="00F85F4A">
    <w:pPr>
      <w:pStyle w:val="En-tte"/>
      <w:tabs>
        <w:tab w:val="clear" w:pos="4320"/>
        <w:tab w:val="clear" w:pos="8640"/>
        <w:tab w:val="left" w:pos="0"/>
        <w:tab w:val="center" w:pos="3939"/>
        <w:tab w:val="right" w:pos="9184"/>
      </w:tabs>
      <w:rPr>
        <w:rFonts w:cs="Arabic Transparent"/>
        <w:color w:val="A6A6A6" w:themeColor="background1" w:themeShade="A6"/>
        <w:sz w:val="16"/>
        <w:szCs w:val="16"/>
        <w:lang w:val="fr-CA" w:bidi="ar-DZ"/>
      </w:rPr>
    </w:pPr>
    <w:r w:rsidRPr="00F85F4A">
      <w:rPr>
        <w:color w:val="A6A6A6" w:themeColor="background1" w:themeShade="A6"/>
        <w:sz w:val="16"/>
        <w:szCs w:val="16"/>
        <w:lang w:val="fr-C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560E"/>
    <w:multiLevelType w:val="hybridMultilevel"/>
    <w:tmpl w:val="1874897A"/>
    <w:lvl w:ilvl="0" w:tplc="D6AE4C82">
      <w:start w:val="1"/>
      <w:numFmt w:val="decimal"/>
      <w:lvlText w:val="%1."/>
      <w:lvlJc w:val="left"/>
      <w:pPr>
        <w:tabs>
          <w:tab w:val="num" w:pos="170"/>
        </w:tabs>
        <w:ind w:left="902" w:hanging="902"/>
      </w:pPr>
      <w:rPr>
        <w:rFonts w:ascii="Times New Roman" w:hAnsi="Times New Roman" w:cs="Times New Roman" w:hint="default"/>
        <w:b w:val="0"/>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3C3485A"/>
    <w:multiLevelType w:val="hybridMultilevel"/>
    <w:tmpl w:val="E2A0BB9A"/>
    <w:lvl w:ilvl="0" w:tplc="5A365CCA">
      <w:start w:val="1"/>
      <w:numFmt w:val="decimal"/>
      <w:lvlText w:val="[%1] "/>
      <w:lvlJc w:val="left"/>
      <w:pPr>
        <w:tabs>
          <w:tab w:val="num" w:pos="72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B33D59"/>
    <w:multiLevelType w:val="multilevel"/>
    <w:tmpl w:val="948A0500"/>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DC45FA"/>
    <w:multiLevelType w:val="hybridMultilevel"/>
    <w:tmpl w:val="7C486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8A0B4B"/>
    <w:multiLevelType w:val="hybridMultilevel"/>
    <w:tmpl w:val="43ACB294"/>
    <w:lvl w:ilvl="0" w:tplc="5A365CCA">
      <w:start w:val="1"/>
      <w:numFmt w:val="decimal"/>
      <w:lvlText w:val="[%1] "/>
      <w:lvlJc w:val="left"/>
      <w:pPr>
        <w:ind w:left="786"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position w:val="0"/>
        <w:sz w:val="20"/>
        <w:szCs w:val="20"/>
        <w:u w:val="none"/>
        <w:vertAlign w:val="baseline"/>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nsid w:val="37404C7F"/>
    <w:multiLevelType w:val="hybridMultilevel"/>
    <w:tmpl w:val="BA04D284"/>
    <w:lvl w:ilvl="0" w:tplc="5A365CCA">
      <w:start w:val="1"/>
      <w:numFmt w:val="decimal"/>
      <w:lvlText w:val="[%1] "/>
      <w:lvlJc w:val="left"/>
      <w:pPr>
        <w:tabs>
          <w:tab w:val="num" w:pos="72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C8600BA"/>
    <w:multiLevelType w:val="hybridMultilevel"/>
    <w:tmpl w:val="7CC4D5C6"/>
    <w:lvl w:ilvl="0" w:tplc="08D4154C">
      <w:start w:val="1"/>
      <w:numFmt w:val="decimal"/>
      <w:lvlText w:val="[%1] "/>
      <w:lvlJc w:val="right"/>
      <w:pPr>
        <w:ind w:left="786" w:hanging="360"/>
      </w:pPr>
      <w:rPr>
        <w:rFonts w:ascii="Times New Roman" w:hAnsi="Times New Roman" w:cs="Times New Roman" w:hint="default"/>
        <w:b w:val="0"/>
        <w:bCs w:val="0"/>
        <w:i w:val="0"/>
        <w:iCs w:val="0"/>
        <w:caps w:val="0"/>
        <w:smallCaps w:val="0"/>
        <w:strike w:val="0"/>
        <w:dstrike w:val="0"/>
        <w:outline w:val="0"/>
        <w:shadow w:val="0"/>
        <w:vanish w:val="0"/>
        <w:color w:val="auto"/>
        <w:position w:val="0"/>
        <w:sz w:val="20"/>
        <w:szCs w:val="20"/>
        <w:u w:val="none"/>
        <w:vertAlign w:val="baseline"/>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nsid w:val="69535DB2"/>
    <w:multiLevelType w:val="hybridMultilevel"/>
    <w:tmpl w:val="88CEC822"/>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7492666D"/>
    <w:multiLevelType w:val="hybridMultilevel"/>
    <w:tmpl w:val="D71AA780"/>
    <w:lvl w:ilvl="0" w:tplc="040C000B">
      <w:start w:val="1"/>
      <w:numFmt w:val="bullet"/>
      <w:lvlText w:val=""/>
      <w:lvlJc w:val="left"/>
      <w:pPr>
        <w:tabs>
          <w:tab w:val="num" w:pos="1680"/>
        </w:tabs>
        <w:ind w:left="16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A387DB5"/>
    <w:multiLevelType w:val="multilevel"/>
    <w:tmpl w:val="727EA4A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7"/>
  </w:num>
  <w:num w:numId="7">
    <w:abstractNumId w:val="3"/>
  </w:num>
  <w:num w:numId="8">
    <w:abstractNumId w:val="1"/>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hyphenationZone w:val="425"/>
  <w:evenAndOddHeaders/>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D861F4"/>
    <w:rsid w:val="00000085"/>
    <w:rsid w:val="00000EAA"/>
    <w:rsid w:val="000010C7"/>
    <w:rsid w:val="00002E56"/>
    <w:rsid w:val="0000332A"/>
    <w:rsid w:val="00013542"/>
    <w:rsid w:val="00020035"/>
    <w:rsid w:val="00022BE5"/>
    <w:rsid w:val="00026E33"/>
    <w:rsid w:val="00030E71"/>
    <w:rsid w:val="00034107"/>
    <w:rsid w:val="00035CAC"/>
    <w:rsid w:val="00045EAE"/>
    <w:rsid w:val="00047ED6"/>
    <w:rsid w:val="00053D96"/>
    <w:rsid w:val="00066A9C"/>
    <w:rsid w:val="00067B8C"/>
    <w:rsid w:val="0007417C"/>
    <w:rsid w:val="0007429E"/>
    <w:rsid w:val="00075AD6"/>
    <w:rsid w:val="000850EF"/>
    <w:rsid w:val="000867D8"/>
    <w:rsid w:val="00091D65"/>
    <w:rsid w:val="0009203A"/>
    <w:rsid w:val="00095EB8"/>
    <w:rsid w:val="00096641"/>
    <w:rsid w:val="00097241"/>
    <w:rsid w:val="000A1485"/>
    <w:rsid w:val="000A4C70"/>
    <w:rsid w:val="000A7AB7"/>
    <w:rsid w:val="000B176E"/>
    <w:rsid w:val="000B33EB"/>
    <w:rsid w:val="000B61FC"/>
    <w:rsid w:val="000B79AD"/>
    <w:rsid w:val="000C2EBD"/>
    <w:rsid w:val="000C4218"/>
    <w:rsid w:val="000C7825"/>
    <w:rsid w:val="000C785D"/>
    <w:rsid w:val="000D13AC"/>
    <w:rsid w:val="000D4A3F"/>
    <w:rsid w:val="000D6305"/>
    <w:rsid w:val="000E6347"/>
    <w:rsid w:val="000F50DE"/>
    <w:rsid w:val="000F64E9"/>
    <w:rsid w:val="000F76E7"/>
    <w:rsid w:val="00101F1E"/>
    <w:rsid w:val="00104D97"/>
    <w:rsid w:val="00106CAF"/>
    <w:rsid w:val="0011303A"/>
    <w:rsid w:val="001225C4"/>
    <w:rsid w:val="00124327"/>
    <w:rsid w:val="001253A1"/>
    <w:rsid w:val="00130DFC"/>
    <w:rsid w:val="00132783"/>
    <w:rsid w:val="00142D4E"/>
    <w:rsid w:val="00152A69"/>
    <w:rsid w:val="001531C6"/>
    <w:rsid w:val="00155EAC"/>
    <w:rsid w:val="001604F4"/>
    <w:rsid w:val="001668B7"/>
    <w:rsid w:val="00167CA0"/>
    <w:rsid w:val="001735A8"/>
    <w:rsid w:val="001906E2"/>
    <w:rsid w:val="001932CA"/>
    <w:rsid w:val="001956DE"/>
    <w:rsid w:val="00195D89"/>
    <w:rsid w:val="001A0567"/>
    <w:rsid w:val="001B5E84"/>
    <w:rsid w:val="001C2470"/>
    <w:rsid w:val="001C61D4"/>
    <w:rsid w:val="001D4304"/>
    <w:rsid w:val="001E0659"/>
    <w:rsid w:val="001E3DFC"/>
    <w:rsid w:val="001E62A4"/>
    <w:rsid w:val="001F3C33"/>
    <w:rsid w:val="00200A49"/>
    <w:rsid w:val="002012A3"/>
    <w:rsid w:val="00204964"/>
    <w:rsid w:val="00222297"/>
    <w:rsid w:val="00222EEA"/>
    <w:rsid w:val="002253A4"/>
    <w:rsid w:val="0022560B"/>
    <w:rsid w:val="002261EE"/>
    <w:rsid w:val="00226F33"/>
    <w:rsid w:val="00233398"/>
    <w:rsid w:val="002343AA"/>
    <w:rsid w:val="00240CD7"/>
    <w:rsid w:val="002421DF"/>
    <w:rsid w:val="00242C94"/>
    <w:rsid w:val="0024440D"/>
    <w:rsid w:val="00251823"/>
    <w:rsid w:val="00251E7E"/>
    <w:rsid w:val="00254406"/>
    <w:rsid w:val="00261BFA"/>
    <w:rsid w:val="002641CC"/>
    <w:rsid w:val="002728B9"/>
    <w:rsid w:val="00281F48"/>
    <w:rsid w:val="00284DBD"/>
    <w:rsid w:val="00295975"/>
    <w:rsid w:val="00297355"/>
    <w:rsid w:val="0029776F"/>
    <w:rsid w:val="002A3315"/>
    <w:rsid w:val="002A5129"/>
    <w:rsid w:val="002A6D73"/>
    <w:rsid w:val="002B15BA"/>
    <w:rsid w:val="002B2541"/>
    <w:rsid w:val="002B7099"/>
    <w:rsid w:val="002C00FF"/>
    <w:rsid w:val="002C101F"/>
    <w:rsid w:val="002C4A89"/>
    <w:rsid w:val="002D54C7"/>
    <w:rsid w:val="002D5DA0"/>
    <w:rsid w:val="002E0A7D"/>
    <w:rsid w:val="002E287C"/>
    <w:rsid w:val="002F2CA3"/>
    <w:rsid w:val="002F39C6"/>
    <w:rsid w:val="00305E28"/>
    <w:rsid w:val="00312498"/>
    <w:rsid w:val="00315130"/>
    <w:rsid w:val="003250AC"/>
    <w:rsid w:val="003253DF"/>
    <w:rsid w:val="00332319"/>
    <w:rsid w:val="0034172C"/>
    <w:rsid w:val="00342FC1"/>
    <w:rsid w:val="0034670E"/>
    <w:rsid w:val="0035187C"/>
    <w:rsid w:val="00352ABB"/>
    <w:rsid w:val="00354387"/>
    <w:rsid w:val="0035527A"/>
    <w:rsid w:val="0036594D"/>
    <w:rsid w:val="00372A96"/>
    <w:rsid w:val="00372CE5"/>
    <w:rsid w:val="0037362E"/>
    <w:rsid w:val="00376BE9"/>
    <w:rsid w:val="00386AF8"/>
    <w:rsid w:val="00387C54"/>
    <w:rsid w:val="00390FAB"/>
    <w:rsid w:val="003913C9"/>
    <w:rsid w:val="00391D67"/>
    <w:rsid w:val="003958E3"/>
    <w:rsid w:val="003976B2"/>
    <w:rsid w:val="00397A77"/>
    <w:rsid w:val="003A3DE4"/>
    <w:rsid w:val="003A4359"/>
    <w:rsid w:val="003A6013"/>
    <w:rsid w:val="003A767A"/>
    <w:rsid w:val="003A7709"/>
    <w:rsid w:val="003B1137"/>
    <w:rsid w:val="003B1AA4"/>
    <w:rsid w:val="003B6A0B"/>
    <w:rsid w:val="003B728D"/>
    <w:rsid w:val="003C0948"/>
    <w:rsid w:val="003C283C"/>
    <w:rsid w:val="003C610A"/>
    <w:rsid w:val="003D6B51"/>
    <w:rsid w:val="003E275E"/>
    <w:rsid w:val="003E42E5"/>
    <w:rsid w:val="003E78DA"/>
    <w:rsid w:val="003F570E"/>
    <w:rsid w:val="003F7DF4"/>
    <w:rsid w:val="00402CF3"/>
    <w:rsid w:val="00404193"/>
    <w:rsid w:val="00405A1A"/>
    <w:rsid w:val="00416DAE"/>
    <w:rsid w:val="00420539"/>
    <w:rsid w:val="00420E6E"/>
    <w:rsid w:val="0043360B"/>
    <w:rsid w:val="00444327"/>
    <w:rsid w:val="004522D3"/>
    <w:rsid w:val="004541F6"/>
    <w:rsid w:val="00456EC8"/>
    <w:rsid w:val="004628B1"/>
    <w:rsid w:val="004671A9"/>
    <w:rsid w:val="00471969"/>
    <w:rsid w:val="00473A7A"/>
    <w:rsid w:val="0047530C"/>
    <w:rsid w:val="004759E9"/>
    <w:rsid w:val="00477BB7"/>
    <w:rsid w:val="004809DC"/>
    <w:rsid w:val="0048305C"/>
    <w:rsid w:val="004831A6"/>
    <w:rsid w:val="004859C0"/>
    <w:rsid w:val="00487065"/>
    <w:rsid w:val="00487D9B"/>
    <w:rsid w:val="00492D3F"/>
    <w:rsid w:val="004974B3"/>
    <w:rsid w:val="00497D83"/>
    <w:rsid w:val="004B6BB5"/>
    <w:rsid w:val="004B7674"/>
    <w:rsid w:val="004C2E44"/>
    <w:rsid w:val="004C4A19"/>
    <w:rsid w:val="004C722B"/>
    <w:rsid w:val="004D055B"/>
    <w:rsid w:val="004D4270"/>
    <w:rsid w:val="004D4F30"/>
    <w:rsid w:val="004E1255"/>
    <w:rsid w:val="004E139F"/>
    <w:rsid w:val="004E261B"/>
    <w:rsid w:val="004E40CF"/>
    <w:rsid w:val="004E59E3"/>
    <w:rsid w:val="004F13BE"/>
    <w:rsid w:val="004F2BBF"/>
    <w:rsid w:val="004F4401"/>
    <w:rsid w:val="004F5319"/>
    <w:rsid w:val="00501D1B"/>
    <w:rsid w:val="00502BE1"/>
    <w:rsid w:val="005160BD"/>
    <w:rsid w:val="00526248"/>
    <w:rsid w:val="0052714B"/>
    <w:rsid w:val="00532F5A"/>
    <w:rsid w:val="00541976"/>
    <w:rsid w:val="005425F1"/>
    <w:rsid w:val="00551C55"/>
    <w:rsid w:val="00552846"/>
    <w:rsid w:val="00556AD7"/>
    <w:rsid w:val="00560B76"/>
    <w:rsid w:val="005624A2"/>
    <w:rsid w:val="0057041D"/>
    <w:rsid w:val="00571C96"/>
    <w:rsid w:val="00574723"/>
    <w:rsid w:val="00594ACB"/>
    <w:rsid w:val="00597334"/>
    <w:rsid w:val="00597ACA"/>
    <w:rsid w:val="005A1305"/>
    <w:rsid w:val="005A3355"/>
    <w:rsid w:val="005A6F04"/>
    <w:rsid w:val="005B02D1"/>
    <w:rsid w:val="005B73DE"/>
    <w:rsid w:val="005C03B9"/>
    <w:rsid w:val="005C230A"/>
    <w:rsid w:val="005C2F89"/>
    <w:rsid w:val="005C762D"/>
    <w:rsid w:val="005D15F3"/>
    <w:rsid w:val="005D411E"/>
    <w:rsid w:val="005D5804"/>
    <w:rsid w:val="005E202D"/>
    <w:rsid w:val="005E545F"/>
    <w:rsid w:val="005E7164"/>
    <w:rsid w:val="005E7D58"/>
    <w:rsid w:val="005F56D5"/>
    <w:rsid w:val="00601D7E"/>
    <w:rsid w:val="00603117"/>
    <w:rsid w:val="006070F5"/>
    <w:rsid w:val="00610AD9"/>
    <w:rsid w:val="006269BB"/>
    <w:rsid w:val="00627627"/>
    <w:rsid w:val="006316D4"/>
    <w:rsid w:val="00631ABA"/>
    <w:rsid w:val="00634804"/>
    <w:rsid w:val="006366B3"/>
    <w:rsid w:val="00637494"/>
    <w:rsid w:val="00643046"/>
    <w:rsid w:val="006451E2"/>
    <w:rsid w:val="00653284"/>
    <w:rsid w:val="006538D6"/>
    <w:rsid w:val="00653E24"/>
    <w:rsid w:val="00662823"/>
    <w:rsid w:val="006629A0"/>
    <w:rsid w:val="00663FAC"/>
    <w:rsid w:val="00665B85"/>
    <w:rsid w:val="00665D33"/>
    <w:rsid w:val="00667B26"/>
    <w:rsid w:val="00670C5A"/>
    <w:rsid w:val="00671B73"/>
    <w:rsid w:val="00677EB5"/>
    <w:rsid w:val="00686FEB"/>
    <w:rsid w:val="00687CA0"/>
    <w:rsid w:val="006A174C"/>
    <w:rsid w:val="006A2BE8"/>
    <w:rsid w:val="006A4E1A"/>
    <w:rsid w:val="006A77E0"/>
    <w:rsid w:val="006B1A6E"/>
    <w:rsid w:val="006B2584"/>
    <w:rsid w:val="006B2C1A"/>
    <w:rsid w:val="006B2C81"/>
    <w:rsid w:val="006B702F"/>
    <w:rsid w:val="006D0017"/>
    <w:rsid w:val="006D225A"/>
    <w:rsid w:val="006D4F7B"/>
    <w:rsid w:val="006E2529"/>
    <w:rsid w:val="006F7323"/>
    <w:rsid w:val="00700A2E"/>
    <w:rsid w:val="00700D4C"/>
    <w:rsid w:val="00703421"/>
    <w:rsid w:val="00703D31"/>
    <w:rsid w:val="0070647E"/>
    <w:rsid w:val="00707D49"/>
    <w:rsid w:val="00710A00"/>
    <w:rsid w:val="00712962"/>
    <w:rsid w:val="00716059"/>
    <w:rsid w:val="00722064"/>
    <w:rsid w:val="00722E12"/>
    <w:rsid w:val="00725CE8"/>
    <w:rsid w:val="007267D5"/>
    <w:rsid w:val="00733FE1"/>
    <w:rsid w:val="0074349E"/>
    <w:rsid w:val="00746026"/>
    <w:rsid w:val="00747785"/>
    <w:rsid w:val="00747EB7"/>
    <w:rsid w:val="007506B7"/>
    <w:rsid w:val="0075136B"/>
    <w:rsid w:val="00751800"/>
    <w:rsid w:val="00751DC1"/>
    <w:rsid w:val="00751F33"/>
    <w:rsid w:val="0075231D"/>
    <w:rsid w:val="00757399"/>
    <w:rsid w:val="00757EDC"/>
    <w:rsid w:val="007605C4"/>
    <w:rsid w:val="007649A1"/>
    <w:rsid w:val="00766017"/>
    <w:rsid w:val="007675DB"/>
    <w:rsid w:val="00776106"/>
    <w:rsid w:val="007775EE"/>
    <w:rsid w:val="00786313"/>
    <w:rsid w:val="00787BFA"/>
    <w:rsid w:val="007908C8"/>
    <w:rsid w:val="007941E2"/>
    <w:rsid w:val="00795A07"/>
    <w:rsid w:val="00796CF3"/>
    <w:rsid w:val="007A12AC"/>
    <w:rsid w:val="007A251A"/>
    <w:rsid w:val="007A2BDB"/>
    <w:rsid w:val="007B00D9"/>
    <w:rsid w:val="007B2244"/>
    <w:rsid w:val="007B3626"/>
    <w:rsid w:val="007B41C9"/>
    <w:rsid w:val="007B7EAE"/>
    <w:rsid w:val="007C0F91"/>
    <w:rsid w:val="007C18B7"/>
    <w:rsid w:val="007C2A63"/>
    <w:rsid w:val="007C38D5"/>
    <w:rsid w:val="007D0B54"/>
    <w:rsid w:val="007D0DC4"/>
    <w:rsid w:val="007E0130"/>
    <w:rsid w:val="007F64FA"/>
    <w:rsid w:val="007F7506"/>
    <w:rsid w:val="00802302"/>
    <w:rsid w:val="008045A0"/>
    <w:rsid w:val="00806AAB"/>
    <w:rsid w:val="00807E49"/>
    <w:rsid w:val="00811B3F"/>
    <w:rsid w:val="00812FA9"/>
    <w:rsid w:val="00813660"/>
    <w:rsid w:val="00824262"/>
    <w:rsid w:val="0082670B"/>
    <w:rsid w:val="00836248"/>
    <w:rsid w:val="00843358"/>
    <w:rsid w:val="008508E4"/>
    <w:rsid w:val="0085139B"/>
    <w:rsid w:val="00851D92"/>
    <w:rsid w:val="00860947"/>
    <w:rsid w:val="00860C1D"/>
    <w:rsid w:val="00861B49"/>
    <w:rsid w:val="00865C14"/>
    <w:rsid w:val="00865F0F"/>
    <w:rsid w:val="008663E2"/>
    <w:rsid w:val="008734C8"/>
    <w:rsid w:val="008757CD"/>
    <w:rsid w:val="00875C2C"/>
    <w:rsid w:val="00876B72"/>
    <w:rsid w:val="00880D93"/>
    <w:rsid w:val="0088180D"/>
    <w:rsid w:val="00887D97"/>
    <w:rsid w:val="00892A0B"/>
    <w:rsid w:val="00893996"/>
    <w:rsid w:val="00895581"/>
    <w:rsid w:val="008963B0"/>
    <w:rsid w:val="008A01B8"/>
    <w:rsid w:val="008A184B"/>
    <w:rsid w:val="008A6A71"/>
    <w:rsid w:val="008A7CC9"/>
    <w:rsid w:val="008B42C8"/>
    <w:rsid w:val="008C1C7F"/>
    <w:rsid w:val="008D4C4B"/>
    <w:rsid w:val="008D5EE4"/>
    <w:rsid w:val="008D7906"/>
    <w:rsid w:val="008E2AD6"/>
    <w:rsid w:val="008E3F87"/>
    <w:rsid w:val="008E58E1"/>
    <w:rsid w:val="008F0581"/>
    <w:rsid w:val="008F27CD"/>
    <w:rsid w:val="00900C48"/>
    <w:rsid w:val="00917189"/>
    <w:rsid w:val="00917A33"/>
    <w:rsid w:val="00921113"/>
    <w:rsid w:val="009225AA"/>
    <w:rsid w:val="00922897"/>
    <w:rsid w:val="009246F5"/>
    <w:rsid w:val="0092631E"/>
    <w:rsid w:val="00930ECD"/>
    <w:rsid w:val="00931D67"/>
    <w:rsid w:val="00936F42"/>
    <w:rsid w:val="00937FF1"/>
    <w:rsid w:val="0094641A"/>
    <w:rsid w:val="00947972"/>
    <w:rsid w:val="00952A74"/>
    <w:rsid w:val="00953A43"/>
    <w:rsid w:val="009702D0"/>
    <w:rsid w:val="00972754"/>
    <w:rsid w:val="00975447"/>
    <w:rsid w:val="00975E53"/>
    <w:rsid w:val="0098072F"/>
    <w:rsid w:val="00980784"/>
    <w:rsid w:val="00982EED"/>
    <w:rsid w:val="009860EE"/>
    <w:rsid w:val="0098738F"/>
    <w:rsid w:val="00991CDB"/>
    <w:rsid w:val="00992FF7"/>
    <w:rsid w:val="0099417D"/>
    <w:rsid w:val="0099417E"/>
    <w:rsid w:val="00994189"/>
    <w:rsid w:val="00997DB9"/>
    <w:rsid w:val="009A6ABB"/>
    <w:rsid w:val="009B02E2"/>
    <w:rsid w:val="009C07F5"/>
    <w:rsid w:val="009D0204"/>
    <w:rsid w:val="009D062A"/>
    <w:rsid w:val="009D540F"/>
    <w:rsid w:val="009E0F0C"/>
    <w:rsid w:val="009E46FD"/>
    <w:rsid w:val="009F3475"/>
    <w:rsid w:val="009F4C57"/>
    <w:rsid w:val="009F72BB"/>
    <w:rsid w:val="009F755F"/>
    <w:rsid w:val="00A02D0D"/>
    <w:rsid w:val="00A03B33"/>
    <w:rsid w:val="00A063B9"/>
    <w:rsid w:val="00A1420F"/>
    <w:rsid w:val="00A14A5E"/>
    <w:rsid w:val="00A21641"/>
    <w:rsid w:val="00A27CF3"/>
    <w:rsid w:val="00A31D49"/>
    <w:rsid w:val="00A334B2"/>
    <w:rsid w:val="00A33D14"/>
    <w:rsid w:val="00A50C9B"/>
    <w:rsid w:val="00A515B8"/>
    <w:rsid w:val="00A528C6"/>
    <w:rsid w:val="00A52F06"/>
    <w:rsid w:val="00A56D1A"/>
    <w:rsid w:val="00A6373A"/>
    <w:rsid w:val="00A66785"/>
    <w:rsid w:val="00A7562E"/>
    <w:rsid w:val="00A77B8F"/>
    <w:rsid w:val="00A80B97"/>
    <w:rsid w:val="00A879EA"/>
    <w:rsid w:val="00A94493"/>
    <w:rsid w:val="00A95166"/>
    <w:rsid w:val="00AB21DF"/>
    <w:rsid w:val="00AB2E43"/>
    <w:rsid w:val="00AB486D"/>
    <w:rsid w:val="00AB69A0"/>
    <w:rsid w:val="00AC380C"/>
    <w:rsid w:val="00AC7130"/>
    <w:rsid w:val="00AD03A0"/>
    <w:rsid w:val="00AE32E1"/>
    <w:rsid w:val="00AE6AFD"/>
    <w:rsid w:val="00AF1112"/>
    <w:rsid w:val="00AF16A2"/>
    <w:rsid w:val="00AF47AF"/>
    <w:rsid w:val="00AF5DDA"/>
    <w:rsid w:val="00AF6DD7"/>
    <w:rsid w:val="00B056FF"/>
    <w:rsid w:val="00B07DA6"/>
    <w:rsid w:val="00B107B8"/>
    <w:rsid w:val="00B175D8"/>
    <w:rsid w:val="00B1782B"/>
    <w:rsid w:val="00B21707"/>
    <w:rsid w:val="00B30439"/>
    <w:rsid w:val="00B30FB6"/>
    <w:rsid w:val="00B374A7"/>
    <w:rsid w:val="00B407A4"/>
    <w:rsid w:val="00B41369"/>
    <w:rsid w:val="00B41952"/>
    <w:rsid w:val="00B46883"/>
    <w:rsid w:val="00B46AB5"/>
    <w:rsid w:val="00B46C49"/>
    <w:rsid w:val="00B50BB4"/>
    <w:rsid w:val="00B52998"/>
    <w:rsid w:val="00B76330"/>
    <w:rsid w:val="00B76472"/>
    <w:rsid w:val="00B82542"/>
    <w:rsid w:val="00B90363"/>
    <w:rsid w:val="00B95E6B"/>
    <w:rsid w:val="00BA0972"/>
    <w:rsid w:val="00BA32E9"/>
    <w:rsid w:val="00BB2A2D"/>
    <w:rsid w:val="00BB4990"/>
    <w:rsid w:val="00BB4E5A"/>
    <w:rsid w:val="00BD6901"/>
    <w:rsid w:val="00BE02EE"/>
    <w:rsid w:val="00BE28D9"/>
    <w:rsid w:val="00BE3234"/>
    <w:rsid w:val="00BE34C6"/>
    <w:rsid w:val="00BE3950"/>
    <w:rsid w:val="00BE7151"/>
    <w:rsid w:val="00BF4125"/>
    <w:rsid w:val="00BF4791"/>
    <w:rsid w:val="00C019AF"/>
    <w:rsid w:val="00C118DA"/>
    <w:rsid w:val="00C11A93"/>
    <w:rsid w:val="00C1251C"/>
    <w:rsid w:val="00C2322C"/>
    <w:rsid w:val="00C26199"/>
    <w:rsid w:val="00C27199"/>
    <w:rsid w:val="00C363CE"/>
    <w:rsid w:val="00C36B45"/>
    <w:rsid w:val="00C40C18"/>
    <w:rsid w:val="00C418EA"/>
    <w:rsid w:val="00C41E0B"/>
    <w:rsid w:val="00C4627D"/>
    <w:rsid w:val="00C46FB0"/>
    <w:rsid w:val="00C50E66"/>
    <w:rsid w:val="00C53BE9"/>
    <w:rsid w:val="00C6603B"/>
    <w:rsid w:val="00C70792"/>
    <w:rsid w:val="00C72CBA"/>
    <w:rsid w:val="00C74086"/>
    <w:rsid w:val="00C85E69"/>
    <w:rsid w:val="00CA2493"/>
    <w:rsid w:val="00CA7F80"/>
    <w:rsid w:val="00CB12F1"/>
    <w:rsid w:val="00CB1CD5"/>
    <w:rsid w:val="00CB42D0"/>
    <w:rsid w:val="00CB636F"/>
    <w:rsid w:val="00CC29BE"/>
    <w:rsid w:val="00CC6044"/>
    <w:rsid w:val="00CD4D77"/>
    <w:rsid w:val="00CD4EA5"/>
    <w:rsid w:val="00CD617A"/>
    <w:rsid w:val="00CD7690"/>
    <w:rsid w:val="00CE54C7"/>
    <w:rsid w:val="00CF6B23"/>
    <w:rsid w:val="00CF7802"/>
    <w:rsid w:val="00CF7CAC"/>
    <w:rsid w:val="00CF7F31"/>
    <w:rsid w:val="00D009F6"/>
    <w:rsid w:val="00D015DE"/>
    <w:rsid w:val="00D0468C"/>
    <w:rsid w:val="00D0561B"/>
    <w:rsid w:val="00D1105E"/>
    <w:rsid w:val="00D13C0B"/>
    <w:rsid w:val="00D315A9"/>
    <w:rsid w:val="00D42B55"/>
    <w:rsid w:val="00D44A1B"/>
    <w:rsid w:val="00D471C6"/>
    <w:rsid w:val="00D52AD8"/>
    <w:rsid w:val="00D54038"/>
    <w:rsid w:val="00D563AF"/>
    <w:rsid w:val="00D56FC1"/>
    <w:rsid w:val="00D60524"/>
    <w:rsid w:val="00D61B74"/>
    <w:rsid w:val="00D62663"/>
    <w:rsid w:val="00D629E6"/>
    <w:rsid w:val="00D62BA7"/>
    <w:rsid w:val="00D647B9"/>
    <w:rsid w:val="00D65D3A"/>
    <w:rsid w:val="00D6685E"/>
    <w:rsid w:val="00D66DF7"/>
    <w:rsid w:val="00D82852"/>
    <w:rsid w:val="00D83D10"/>
    <w:rsid w:val="00D83FB7"/>
    <w:rsid w:val="00D861F4"/>
    <w:rsid w:val="00D9239D"/>
    <w:rsid w:val="00D927B2"/>
    <w:rsid w:val="00D9613B"/>
    <w:rsid w:val="00D97F9B"/>
    <w:rsid w:val="00DA08FA"/>
    <w:rsid w:val="00DA10F4"/>
    <w:rsid w:val="00DA1D2E"/>
    <w:rsid w:val="00DA2104"/>
    <w:rsid w:val="00DA3638"/>
    <w:rsid w:val="00DA5A88"/>
    <w:rsid w:val="00DB0A7E"/>
    <w:rsid w:val="00DB2AB0"/>
    <w:rsid w:val="00DB31B6"/>
    <w:rsid w:val="00DB4F5C"/>
    <w:rsid w:val="00DC2039"/>
    <w:rsid w:val="00DC45DB"/>
    <w:rsid w:val="00DD26A3"/>
    <w:rsid w:val="00DD5323"/>
    <w:rsid w:val="00DD59A4"/>
    <w:rsid w:val="00DD62B9"/>
    <w:rsid w:val="00DD6B24"/>
    <w:rsid w:val="00DE2289"/>
    <w:rsid w:val="00DF098E"/>
    <w:rsid w:val="00DF0C52"/>
    <w:rsid w:val="00DF2564"/>
    <w:rsid w:val="00DF6A2C"/>
    <w:rsid w:val="00E05C80"/>
    <w:rsid w:val="00E10771"/>
    <w:rsid w:val="00E118A7"/>
    <w:rsid w:val="00E11B29"/>
    <w:rsid w:val="00E13F96"/>
    <w:rsid w:val="00E16184"/>
    <w:rsid w:val="00E240D1"/>
    <w:rsid w:val="00E30946"/>
    <w:rsid w:val="00E370ED"/>
    <w:rsid w:val="00E400BC"/>
    <w:rsid w:val="00E4031E"/>
    <w:rsid w:val="00E4419B"/>
    <w:rsid w:val="00E52BC4"/>
    <w:rsid w:val="00E551DF"/>
    <w:rsid w:val="00E63BC9"/>
    <w:rsid w:val="00E658EF"/>
    <w:rsid w:val="00E74461"/>
    <w:rsid w:val="00E7492D"/>
    <w:rsid w:val="00E77318"/>
    <w:rsid w:val="00E7776B"/>
    <w:rsid w:val="00E90BEC"/>
    <w:rsid w:val="00E90BED"/>
    <w:rsid w:val="00E94D65"/>
    <w:rsid w:val="00E95421"/>
    <w:rsid w:val="00E95911"/>
    <w:rsid w:val="00EA0151"/>
    <w:rsid w:val="00EA1562"/>
    <w:rsid w:val="00EA2C13"/>
    <w:rsid w:val="00EA7FB1"/>
    <w:rsid w:val="00EB14B7"/>
    <w:rsid w:val="00EB6749"/>
    <w:rsid w:val="00EC10EE"/>
    <w:rsid w:val="00EC15AC"/>
    <w:rsid w:val="00EC169A"/>
    <w:rsid w:val="00EC5517"/>
    <w:rsid w:val="00EC5EFF"/>
    <w:rsid w:val="00EC72CD"/>
    <w:rsid w:val="00ED0A63"/>
    <w:rsid w:val="00ED3277"/>
    <w:rsid w:val="00ED4F69"/>
    <w:rsid w:val="00ED7306"/>
    <w:rsid w:val="00EF1941"/>
    <w:rsid w:val="00EF1C47"/>
    <w:rsid w:val="00EF3EF8"/>
    <w:rsid w:val="00EF471B"/>
    <w:rsid w:val="00EF5644"/>
    <w:rsid w:val="00EF6138"/>
    <w:rsid w:val="00EF6141"/>
    <w:rsid w:val="00EF61A9"/>
    <w:rsid w:val="00F00711"/>
    <w:rsid w:val="00F02821"/>
    <w:rsid w:val="00F04A8A"/>
    <w:rsid w:val="00F13CCD"/>
    <w:rsid w:val="00F1587A"/>
    <w:rsid w:val="00F158AA"/>
    <w:rsid w:val="00F2010B"/>
    <w:rsid w:val="00F20CF2"/>
    <w:rsid w:val="00F315DB"/>
    <w:rsid w:val="00F32A2C"/>
    <w:rsid w:val="00F3793B"/>
    <w:rsid w:val="00F44926"/>
    <w:rsid w:val="00F461EA"/>
    <w:rsid w:val="00F50ED5"/>
    <w:rsid w:val="00F51794"/>
    <w:rsid w:val="00F6182C"/>
    <w:rsid w:val="00F61A13"/>
    <w:rsid w:val="00F665D7"/>
    <w:rsid w:val="00F67E0F"/>
    <w:rsid w:val="00F70687"/>
    <w:rsid w:val="00F72D63"/>
    <w:rsid w:val="00F76C7D"/>
    <w:rsid w:val="00F8072C"/>
    <w:rsid w:val="00F83DA0"/>
    <w:rsid w:val="00F85F4A"/>
    <w:rsid w:val="00F87469"/>
    <w:rsid w:val="00F95207"/>
    <w:rsid w:val="00FA03C6"/>
    <w:rsid w:val="00FA2DE1"/>
    <w:rsid w:val="00FB4718"/>
    <w:rsid w:val="00FB5A26"/>
    <w:rsid w:val="00FC691D"/>
    <w:rsid w:val="00FE4779"/>
    <w:rsid w:val="00FE5AF3"/>
    <w:rsid w:val="00FE7986"/>
    <w:rsid w:val="00FF08F8"/>
    <w:rsid w:val="00FF2772"/>
    <w:rsid w:val="00FF37DA"/>
    <w:rsid w:val="00FF39EA"/>
    <w:rsid w:val="00FF59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1F4"/>
    <w:pPr>
      <w:bidi/>
    </w:pPr>
    <w:rPr>
      <w:sz w:val="24"/>
      <w:szCs w:val="24"/>
      <w:lang w:val="fr-FR" w:eastAsia="en-US"/>
    </w:rPr>
  </w:style>
  <w:style w:type="paragraph" w:styleId="Titre1">
    <w:name w:val="heading 1"/>
    <w:basedOn w:val="Normal"/>
    <w:next w:val="Normal"/>
    <w:qFormat/>
    <w:rsid w:val="00D861F4"/>
    <w:pPr>
      <w:bidi w:val="0"/>
      <w:spacing w:after="120" w:line="360" w:lineRule="auto"/>
      <w:jc w:val="center"/>
      <w:outlineLvl w:val="0"/>
    </w:pPr>
    <w:rPr>
      <w:b/>
      <w:bCs/>
      <w:lang w:eastAsia="fr-FR"/>
    </w:rPr>
  </w:style>
  <w:style w:type="paragraph" w:styleId="Titre2">
    <w:name w:val="heading 2"/>
    <w:basedOn w:val="Normal"/>
    <w:next w:val="Normal"/>
    <w:link w:val="Titre2Car"/>
    <w:qFormat/>
    <w:rsid w:val="00D861F4"/>
    <w:pPr>
      <w:bidi w:val="0"/>
      <w:spacing w:after="120" w:line="360" w:lineRule="auto"/>
      <w:ind w:left="539" w:hanging="539"/>
      <w:jc w:val="both"/>
      <w:outlineLvl w:val="1"/>
    </w:pPr>
    <w:rPr>
      <w:b/>
      <w:bCs/>
      <w:lang w:eastAsia="fr-FR"/>
    </w:rPr>
  </w:style>
  <w:style w:type="paragraph" w:styleId="Titre3">
    <w:name w:val="heading 3"/>
    <w:basedOn w:val="Normal"/>
    <w:next w:val="Normal"/>
    <w:qFormat/>
    <w:rsid w:val="002728B9"/>
    <w:pPr>
      <w:keepNext/>
      <w:spacing w:before="240" w:after="60"/>
      <w:outlineLvl w:val="2"/>
    </w:pPr>
    <w:rPr>
      <w:rFonts w:ascii="Arial" w:hAnsi="Arial" w:cs="Arial"/>
      <w:b/>
      <w:bCs/>
      <w:sz w:val="26"/>
      <w:szCs w:val="26"/>
    </w:rPr>
  </w:style>
  <w:style w:type="paragraph" w:styleId="Titre4">
    <w:name w:val="heading 4"/>
    <w:basedOn w:val="Normal"/>
    <w:next w:val="Normal"/>
    <w:qFormat/>
    <w:rsid w:val="0099418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861F4"/>
    <w:rPr>
      <w:color w:val="0000FF"/>
      <w:u w:val="single"/>
    </w:rPr>
  </w:style>
  <w:style w:type="paragraph" w:customStyle="1" w:styleId="notedefinHaroun">
    <w:name w:val="note de fin (Haroun)"/>
    <w:basedOn w:val="Notedebasdepage"/>
    <w:autoRedefine/>
    <w:rsid w:val="00D861F4"/>
    <w:pPr>
      <w:bidi w:val="0"/>
      <w:jc w:val="both"/>
    </w:pPr>
    <w:rPr>
      <w:i/>
      <w:iCs/>
      <w:shadow/>
      <w:lang w:eastAsia="fr-FR"/>
    </w:rPr>
  </w:style>
  <w:style w:type="character" w:styleId="Appelnotedebasdep">
    <w:name w:val="footnote reference"/>
    <w:basedOn w:val="Policepardfaut"/>
    <w:rsid w:val="00D861F4"/>
    <w:rPr>
      <w:vertAlign w:val="superscript"/>
    </w:rPr>
  </w:style>
  <w:style w:type="paragraph" w:styleId="Notedebasdepage">
    <w:name w:val="footnote text"/>
    <w:basedOn w:val="Normal"/>
    <w:semiHidden/>
    <w:rsid w:val="00D861F4"/>
    <w:rPr>
      <w:sz w:val="20"/>
      <w:szCs w:val="20"/>
    </w:rPr>
  </w:style>
  <w:style w:type="character" w:customStyle="1" w:styleId="Titre2Car">
    <w:name w:val="Titre 2 Car"/>
    <w:basedOn w:val="Policepardfaut"/>
    <w:link w:val="Titre2"/>
    <w:locked/>
    <w:rsid w:val="00D861F4"/>
    <w:rPr>
      <w:b/>
      <w:bCs/>
      <w:sz w:val="24"/>
      <w:szCs w:val="24"/>
      <w:lang w:val="fr-FR" w:eastAsia="fr-FR" w:bidi="ar-SA"/>
    </w:rPr>
  </w:style>
  <w:style w:type="paragraph" w:styleId="Retraitcorpsdetexte">
    <w:name w:val="Body Text Indent"/>
    <w:basedOn w:val="Normal"/>
    <w:rsid w:val="002728B9"/>
    <w:pPr>
      <w:bidi w:val="0"/>
      <w:spacing w:after="120"/>
      <w:ind w:left="283"/>
    </w:pPr>
    <w:rPr>
      <w:lang w:eastAsia="fr-FR" w:bidi="ar-DZ"/>
    </w:rPr>
  </w:style>
  <w:style w:type="paragraph" w:styleId="Pieddepage">
    <w:name w:val="footer"/>
    <w:basedOn w:val="Normal"/>
    <w:rsid w:val="00DB0A7E"/>
    <w:pPr>
      <w:tabs>
        <w:tab w:val="center" w:pos="4536"/>
        <w:tab w:val="right" w:pos="9072"/>
      </w:tabs>
    </w:pPr>
  </w:style>
  <w:style w:type="character" w:styleId="Numrodepage">
    <w:name w:val="page number"/>
    <w:basedOn w:val="Policepardfaut"/>
    <w:rsid w:val="00DB0A7E"/>
  </w:style>
  <w:style w:type="paragraph" w:customStyle="1" w:styleId="Style2">
    <w:name w:val="Style2"/>
    <w:basedOn w:val="Normal"/>
    <w:rsid w:val="00DA10F4"/>
    <w:pPr>
      <w:bidi w:val="0"/>
      <w:spacing w:line="360" w:lineRule="auto"/>
      <w:jc w:val="center"/>
    </w:pPr>
    <w:rPr>
      <w:b/>
      <w:bCs/>
      <w:lang w:eastAsia="fr-FR"/>
    </w:rPr>
  </w:style>
  <w:style w:type="paragraph" w:customStyle="1" w:styleId="Style1">
    <w:name w:val="Style1"/>
    <w:basedOn w:val="Normal"/>
    <w:rsid w:val="00994189"/>
    <w:pPr>
      <w:bidi w:val="0"/>
      <w:spacing w:line="360" w:lineRule="auto"/>
      <w:ind w:left="1077" w:hanging="1077"/>
      <w:jc w:val="both"/>
    </w:pPr>
    <w:rPr>
      <w:b/>
      <w:bCs/>
      <w:lang w:eastAsia="fr-FR"/>
    </w:rPr>
  </w:style>
  <w:style w:type="table" w:styleId="Grilledutableau">
    <w:name w:val="Table Grid"/>
    <w:basedOn w:val="TableauNormal"/>
    <w:rsid w:val="00700D4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roun">
    <w:name w:val="Haroun"/>
    <w:basedOn w:val="Normal"/>
    <w:link w:val="HarounCar"/>
    <w:qFormat/>
    <w:rsid w:val="007908C8"/>
    <w:pPr>
      <w:overflowPunct w:val="0"/>
      <w:autoSpaceDE w:val="0"/>
      <w:autoSpaceDN w:val="0"/>
      <w:bidi w:val="0"/>
      <w:adjustRightInd w:val="0"/>
      <w:spacing w:before="120" w:line="360" w:lineRule="auto"/>
      <w:ind w:firstLine="567"/>
      <w:jc w:val="both"/>
      <w:textAlignment w:val="baseline"/>
    </w:pPr>
    <w:rPr>
      <w:rFonts w:ascii="Arial" w:hAnsi="Arial" w:cs="Arial"/>
      <w:szCs w:val="28"/>
      <w:lang w:eastAsia="fr-FR"/>
    </w:rPr>
  </w:style>
  <w:style w:type="character" w:customStyle="1" w:styleId="HarounCar">
    <w:name w:val="Haroun Car"/>
    <w:basedOn w:val="Policepardfaut"/>
    <w:link w:val="Haroun"/>
    <w:rsid w:val="007908C8"/>
    <w:rPr>
      <w:rFonts w:ascii="Arial" w:hAnsi="Arial" w:cs="Arial"/>
      <w:sz w:val="24"/>
      <w:szCs w:val="28"/>
      <w:lang w:val="fr-FR" w:eastAsia="fr-FR" w:bidi="ar-SA"/>
    </w:rPr>
  </w:style>
  <w:style w:type="character" w:customStyle="1" w:styleId="longtext1">
    <w:name w:val="long_text1"/>
    <w:basedOn w:val="Policepardfaut"/>
    <w:rsid w:val="007908C8"/>
    <w:rPr>
      <w:sz w:val="22"/>
      <w:szCs w:val="22"/>
    </w:rPr>
  </w:style>
  <w:style w:type="paragraph" w:styleId="En-tte">
    <w:name w:val="header"/>
    <w:basedOn w:val="Normal"/>
    <w:link w:val="En-tteCar"/>
    <w:rsid w:val="002F2CA3"/>
    <w:pPr>
      <w:tabs>
        <w:tab w:val="center" w:pos="4320"/>
        <w:tab w:val="right" w:pos="8640"/>
      </w:tabs>
    </w:pPr>
  </w:style>
  <w:style w:type="character" w:customStyle="1" w:styleId="En-tteCar">
    <w:name w:val="En-tête Car"/>
    <w:basedOn w:val="Policepardfaut"/>
    <w:link w:val="En-tte"/>
    <w:rsid w:val="002F2CA3"/>
    <w:rPr>
      <w:sz w:val="24"/>
      <w:szCs w:val="24"/>
      <w:lang w:val="fr-FR" w:eastAsia="en-US"/>
    </w:rPr>
  </w:style>
  <w:style w:type="paragraph" w:styleId="Textedebulles">
    <w:name w:val="Balloon Text"/>
    <w:basedOn w:val="Normal"/>
    <w:link w:val="TextedebullesCar"/>
    <w:rsid w:val="00487D9B"/>
    <w:rPr>
      <w:rFonts w:ascii="Tahoma" w:hAnsi="Tahoma" w:cs="Tahoma"/>
      <w:sz w:val="16"/>
      <w:szCs w:val="16"/>
    </w:rPr>
  </w:style>
  <w:style w:type="character" w:customStyle="1" w:styleId="TextedebullesCar">
    <w:name w:val="Texte de bulles Car"/>
    <w:basedOn w:val="Policepardfaut"/>
    <w:link w:val="Textedebulles"/>
    <w:rsid w:val="00487D9B"/>
    <w:rPr>
      <w:rFonts w:ascii="Tahoma" w:hAnsi="Tahoma" w:cs="Tahoma"/>
      <w:sz w:val="16"/>
      <w:szCs w:val="16"/>
      <w:lang w:val="fr-FR" w:eastAsia="en-US"/>
    </w:rPr>
  </w:style>
  <w:style w:type="table" w:customStyle="1" w:styleId="Ombrageclair4">
    <w:name w:val="Ombrage clair4"/>
    <w:basedOn w:val="TableauNormal"/>
    <w:uiPriority w:val="60"/>
    <w:rsid w:val="00757EDC"/>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5">
    <w:name w:val="Ombrage clair5"/>
    <w:basedOn w:val="TableauNormal"/>
    <w:uiPriority w:val="60"/>
    <w:rsid w:val="00757EDC"/>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1">
    <w:name w:val="Ombrage clair1"/>
    <w:basedOn w:val="TableauNormal"/>
    <w:uiPriority w:val="60"/>
    <w:rsid w:val="00757EDC"/>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mbrageclair">
    <w:name w:val="Light Shading"/>
    <w:basedOn w:val="TableauNormal"/>
    <w:uiPriority w:val="60"/>
    <w:rsid w:val="00757EDC"/>
    <w:rPr>
      <w:rFonts w:asciiTheme="minorHAnsi" w:eastAsiaTheme="minorHAnsi" w:hAnsiTheme="minorHAnsi" w:cstheme="minorBid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757EDC"/>
    <w:pPr>
      <w:ind w:left="720"/>
      <w:contextualSpacing/>
    </w:pPr>
  </w:style>
</w:styles>
</file>

<file path=word/webSettings.xml><?xml version="1.0" encoding="utf-8"?>
<w:webSettings xmlns:r="http://schemas.openxmlformats.org/officeDocument/2006/relationships" xmlns:w="http://schemas.openxmlformats.org/wordprocessingml/2006/main">
  <w:divs>
    <w:div w:id="122622474">
      <w:bodyDiv w:val="1"/>
      <w:marLeft w:val="0"/>
      <w:marRight w:val="0"/>
      <w:marTop w:val="0"/>
      <w:marBottom w:val="0"/>
      <w:divBdr>
        <w:top w:val="none" w:sz="0" w:space="0" w:color="auto"/>
        <w:left w:val="none" w:sz="0" w:space="0" w:color="auto"/>
        <w:bottom w:val="none" w:sz="0" w:space="0" w:color="auto"/>
        <w:right w:val="none" w:sz="0" w:space="0" w:color="auto"/>
      </w:divBdr>
    </w:div>
    <w:div w:id="144128037">
      <w:bodyDiv w:val="1"/>
      <w:marLeft w:val="0"/>
      <w:marRight w:val="0"/>
      <w:marTop w:val="0"/>
      <w:marBottom w:val="0"/>
      <w:divBdr>
        <w:top w:val="none" w:sz="0" w:space="0" w:color="auto"/>
        <w:left w:val="none" w:sz="0" w:space="0" w:color="auto"/>
        <w:bottom w:val="none" w:sz="0" w:space="0" w:color="auto"/>
        <w:right w:val="none" w:sz="0" w:space="0" w:color="auto"/>
      </w:divBdr>
    </w:div>
    <w:div w:id="212544721">
      <w:bodyDiv w:val="1"/>
      <w:marLeft w:val="0"/>
      <w:marRight w:val="0"/>
      <w:marTop w:val="0"/>
      <w:marBottom w:val="0"/>
      <w:divBdr>
        <w:top w:val="none" w:sz="0" w:space="0" w:color="auto"/>
        <w:left w:val="none" w:sz="0" w:space="0" w:color="auto"/>
        <w:bottom w:val="none" w:sz="0" w:space="0" w:color="auto"/>
        <w:right w:val="none" w:sz="0" w:space="0" w:color="auto"/>
      </w:divBdr>
    </w:div>
    <w:div w:id="271864289">
      <w:bodyDiv w:val="1"/>
      <w:marLeft w:val="0"/>
      <w:marRight w:val="0"/>
      <w:marTop w:val="0"/>
      <w:marBottom w:val="0"/>
      <w:divBdr>
        <w:top w:val="none" w:sz="0" w:space="0" w:color="auto"/>
        <w:left w:val="none" w:sz="0" w:space="0" w:color="auto"/>
        <w:bottom w:val="none" w:sz="0" w:space="0" w:color="auto"/>
        <w:right w:val="none" w:sz="0" w:space="0" w:color="auto"/>
      </w:divBdr>
    </w:div>
    <w:div w:id="467866950">
      <w:bodyDiv w:val="1"/>
      <w:marLeft w:val="0"/>
      <w:marRight w:val="0"/>
      <w:marTop w:val="0"/>
      <w:marBottom w:val="0"/>
      <w:divBdr>
        <w:top w:val="none" w:sz="0" w:space="0" w:color="auto"/>
        <w:left w:val="none" w:sz="0" w:space="0" w:color="auto"/>
        <w:bottom w:val="none" w:sz="0" w:space="0" w:color="auto"/>
        <w:right w:val="none" w:sz="0" w:space="0" w:color="auto"/>
      </w:divBdr>
    </w:div>
    <w:div w:id="500319810">
      <w:bodyDiv w:val="1"/>
      <w:marLeft w:val="0"/>
      <w:marRight w:val="0"/>
      <w:marTop w:val="0"/>
      <w:marBottom w:val="0"/>
      <w:divBdr>
        <w:top w:val="none" w:sz="0" w:space="0" w:color="auto"/>
        <w:left w:val="none" w:sz="0" w:space="0" w:color="auto"/>
        <w:bottom w:val="none" w:sz="0" w:space="0" w:color="auto"/>
        <w:right w:val="none" w:sz="0" w:space="0" w:color="auto"/>
      </w:divBdr>
    </w:div>
    <w:div w:id="658579888">
      <w:bodyDiv w:val="1"/>
      <w:marLeft w:val="0"/>
      <w:marRight w:val="0"/>
      <w:marTop w:val="0"/>
      <w:marBottom w:val="0"/>
      <w:divBdr>
        <w:top w:val="none" w:sz="0" w:space="0" w:color="auto"/>
        <w:left w:val="none" w:sz="0" w:space="0" w:color="auto"/>
        <w:bottom w:val="none" w:sz="0" w:space="0" w:color="auto"/>
        <w:right w:val="none" w:sz="0" w:space="0" w:color="auto"/>
      </w:divBdr>
    </w:div>
    <w:div w:id="811167950">
      <w:bodyDiv w:val="1"/>
      <w:marLeft w:val="0"/>
      <w:marRight w:val="0"/>
      <w:marTop w:val="0"/>
      <w:marBottom w:val="0"/>
      <w:divBdr>
        <w:top w:val="none" w:sz="0" w:space="0" w:color="auto"/>
        <w:left w:val="none" w:sz="0" w:space="0" w:color="auto"/>
        <w:bottom w:val="none" w:sz="0" w:space="0" w:color="auto"/>
        <w:right w:val="none" w:sz="0" w:space="0" w:color="auto"/>
      </w:divBdr>
    </w:div>
    <w:div w:id="1123693070">
      <w:bodyDiv w:val="1"/>
      <w:marLeft w:val="0"/>
      <w:marRight w:val="0"/>
      <w:marTop w:val="0"/>
      <w:marBottom w:val="0"/>
      <w:divBdr>
        <w:top w:val="none" w:sz="0" w:space="0" w:color="auto"/>
        <w:left w:val="none" w:sz="0" w:space="0" w:color="auto"/>
        <w:bottom w:val="none" w:sz="0" w:space="0" w:color="auto"/>
        <w:right w:val="none" w:sz="0" w:space="0" w:color="auto"/>
      </w:divBdr>
    </w:div>
    <w:div w:id="1140079961">
      <w:bodyDiv w:val="1"/>
      <w:marLeft w:val="0"/>
      <w:marRight w:val="0"/>
      <w:marTop w:val="0"/>
      <w:marBottom w:val="0"/>
      <w:divBdr>
        <w:top w:val="none" w:sz="0" w:space="0" w:color="auto"/>
        <w:left w:val="none" w:sz="0" w:space="0" w:color="auto"/>
        <w:bottom w:val="none" w:sz="0" w:space="0" w:color="auto"/>
        <w:right w:val="none" w:sz="0" w:space="0" w:color="auto"/>
      </w:divBdr>
    </w:div>
    <w:div w:id="1200123580">
      <w:bodyDiv w:val="1"/>
      <w:marLeft w:val="0"/>
      <w:marRight w:val="0"/>
      <w:marTop w:val="0"/>
      <w:marBottom w:val="0"/>
      <w:divBdr>
        <w:top w:val="none" w:sz="0" w:space="0" w:color="auto"/>
        <w:left w:val="none" w:sz="0" w:space="0" w:color="auto"/>
        <w:bottom w:val="none" w:sz="0" w:space="0" w:color="auto"/>
        <w:right w:val="none" w:sz="0" w:space="0" w:color="auto"/>
      </w:divBdr>
    </w:div>
    <w:div w:id="1273322149">
      <w:bodyDiv w:val="1"/>
      <w:marLeft w:val="0"/>
      <w:marRight w:val="0"/>
      <w:marTop w:val="0"/>
      <w:marBottom w:val="0"/>
      <w:divBdr>
        <w:top w:val="none" w:sz="0" w:space="0" w:color="auto"/>
        <w:left w:val="none" w:sz="0" w:space="0" w:color="auto"/>
        <w:bottom w:val="none" w:sz="0" w:space="0" w:color="auto"/>
        <w:right w:val="none" w:sz="0" w:space="0" w:color="auto"/>
      </w:divBdr>
    </w:div>
    <w:div w:id="1288586526">
      <w:bodyDiv w:val="1"/>
      <w:marLeft w:val="0"/>
      <w:marRight w:val="0"/>
      <w:marTop w:val="0"/>
      <w:marBottom w:val="0"/>
      <w:divBdr>
        <w:top w:val="none" w:sz="0" w:space="0" w:color="auto"/>
        <w:left w:val="none" w:sz="0" w:space="0" w:color="auto"/>
        <w:bottom w:val="none" w:sz="0" w:space="0" w:color="auto"/>
        <w:right w:val="none" w:sz="0" w:space="0" w:color="auto"/>
      </w:divBdr>
    </w:div>
    <w:div w:id="1358307626">
      <w:bodyDiv w:val="1"/>
      <w:marLeft w:val="0"/>
      <w:marRight w:val="0"/>
      <w:marTop w:val="0"/>
      <w:marBottom w:val="0"/>
      <w:divBdr>
        <w:top w:val="none" w:sz="0" w:space="0" w:color="auto"/>
        <w:left w:val="none" w:sz="0" w:space="0" w:color="auto"/>
        <w:bottom w:val="none" w:sz="0" w:space="0" w:color="auto"/>
        <w:right w:val="none" w:sz="0" w:space="0" w:color="auto"/>
      </w:divBdr>
    </w:div>
    <w:div w:id="1442191009">
      <w:bodyDiv w:val="1"/>
      <w:marLeft w:val="0"/>
      <w:marRight w:val="0"/>
      <w:marTop w:val="0"/>
      <w:marBottom w:val="0"/>
      <w:divBdr>
        <w:top w:val="none" w:sz="0" w:space="0" w:color="auto"/>
        <w:left w:val="none" w:sz="0" w:space="0" w:color="auto"/>
        <w:bottom w:val="none" w:sz="0" w:space="0" w:color="auto"/>
        <w:right w:val="none" w:sz="0" w:space="0" w:color="auto"/>
      </w:divBdr>
    </w:div>
    <w:div w:id="1443650795">
      <w:bodyDiv w:val="1"/>
      <w:marLeft w:val="0"/>
      <w:marRight w:val="0"/>
      <w:marTop w:val="0"/>
      <w:marBottom w:val="0"/>
      <w:divBdr>
        <w:top w:val="none" w:sz="0" w:space="0" w:color="auto"/>
        <w:left w:val="none" w:sz="0" w:space="0" w:color="auto"/>
        <w:bottom w:val="none" w:sz="0" w:space="0" w:color="auto"/>
        <w:right w:val="none" w:sz="0" w:space="0" w:color="auto"/>
      </w:divBdr>
    </w:div>
    <w:div w:id="1587886368">
      <w:bodyDiv w:val="1"/>
      <w:marLeft w:val="0"/>
      <w:marRight w:val="0"/>
      <w:marTop w:val="0"/>
      <w:marBottom w:val="0"/>
      <w:divBdr>
        <w:top w:val="none" w:sz="0" w:space="0" w:color="auto"/>
        <w:left w:val="none" w:sz="0" w:space="0" w:color="auto"/>
        <w:bottom w:val="none" w:sz="0" w:space="0" w:color="auto"/>
        <w:right w:val="none" w:sz="0" w:space="0" w:color="auto"/>
      </w:divBdr>
    </w:div>
    <w:div w:id="1768844786">
      <w:bodyDiv w:val="1"/>
      <w:marLeft w:val="0"/>
      <w:marRight w:val="0"/>
      <w:marTop w:val="0"/>
      <w:marBottom w:val="0"/>
      <w:divBdr>
        <w:top w:val="none" w:sz="0" w:space="0" w:color="auto"/>
        <w:left w:val="none" w:sz="0" w:space="0" w:color="auto"/>
        <w:bottom w:val="none" w:sz="0" w:space="0" w:color="auto"/>
        <w:right w:val="none" w:sz="0" w:space="0" w:color="auto"/>
      </w:divBdr>
    </w:div>
    <w:div w:id="1787312201">
      <w:bodyDiv w:val="1"/>
      <w:marLeft w:val="0"/>
      <w:marRight w:val="0"/>
      <w:marTop w:val="0"/>
      <w:marBottom w:val="0"/>
      <w:divBdr>
        <w:top w:val="none" w:sz="0" w:space="0" w:color="auto"/>
        <w:left w:val="none" w:sz="0" w:space="0" w:color="auto"/>
        <w:bottom w:val="none" w:sz="0" w:space="0" w:color="auto"/>
        <w:right w:val="none" w:sz="0" w:space="0" w:color="auto"/>
      </w:divBdr>
    </w:div>
    <w:div w:id="1836647894">
      <w:bodyDiv w:val="1"/>
      <w:marLeft w:val="0"/>
      <w:marRight w:val="0"/>
      <w:marTop w:val="0"/>
      <w:marBottom w:val="0"/>
      <w:divBdr>
        <w:top w:val="none" w:sz="0" w:space="0" w:color="auto"/>
        <w:left w:val="none" w:sz="0" w:space="0" w:color="auto"/>
        <w:bottom w:val="none" w:sz="0" w:space="0" w:color="auto"/>
        <w:right w:val="none" w:sz="0" w:space="0" w:color="auto"/>
      </w:divBdr>
    </w:div>
    <w:div w:id="1862548105">
      <w:bodyDiv w:val="1"/>
      <w:marLeft w:val="0"/>
      <w:marRight w:val="0"/>
      <w:marTop w:val="0"/>
      <w:marBottom w:val="0"/>
      <w:divBdr>
        <w:top w:val="none" w:sz="0" w:space="0" w:color="auto"/>
        <w:left w:val="none" w:sz="0" w:space="0" w:color="auto"/>
        <w:bottom w:val="none" w:sz="0" w:space="0" w:color="auto"/>
        <w:right w:val="none" w:sz="0" w:space="0" w:color="auto"/>
      </w:divBdr>
    </w:div>
    <w:div w:id="1870097384">
      <w:bodyDiv w:val="1"/>
      <w:marLeft w:val="0"/>
      <w:marRight w:val="0"/>
      <w:marTop w:val="0"/>
      <w:marBottom w:val="0"/>
      <w:divBdr>
        <w:top w:val="none" w:sz="0" w:space="0" w:color="auto"/>
        <w:left w:val="none" w:sz="0" w:space="0" w:color="auto"/>
        <w:bottom w:val="none" w:sz="0" w:space="0" w:color="auto"/>
        <w:right w:val="none" w:sz="0" w:space="0" w:color="auto"/>
      </w:divBdr>
    </w:div>
    <w:div w:id="1998264254">
      <w:bodyDiv w:val="1"/>
      <w:marLeft w:val="0"/>
      <w:marRight w:val="0"/>
      <w:marTop w:val="0"/>
      <w:marBottom w:val="0"/>
      <w:divBdr>
        <w:top w:val="none" w:sz="0" w:space="0" w:color="auto"/>
        <w:left w:val="none" w:sz="0" w:space="0" w:color="auto"/>
        <w:bottom w:val="none" w:sz="0" w:space="0" w:color="auto"/>
        <w:right w:val="none" w:sz="0" w:space="0" w:color="auto"/>
      </w:divBdr>
    </w:div>
    <w:div w:id="21124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mou_alaa@yahoo.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VARIATION DU REGIME ALIMENTAIRE DE LA CIGOGNE BLANCHE CICONIA CICONIA  L</vt:lpstr>
    </vt:vector>
  </TitlesOfParts>
  <Company>Hewlett-Packard</Company>
  <LinksUpToDate>false</LinksUpToDate>
  <CharactersWithSpaces>16720</CharactersWithSpaces>
  <SharedDoc>false</SharedDoc>
  <HLinks>
    <vt:vector size="6" baseType="variant">
      <vt:variant>
        <vt:i4>1310805</vt:i4>
      </vt:variant>
      <vt:variant>
        <vt:i4>0</vt:i4>
      </vt:variant>
      <vt:variant>
        <vt:i4>0</vt:i4>
      </vt:variant>
      <vt:variant>
        <vt:i4>5</vt:i4>
      </vt:variant>
      <vt:variant>
        <vt:lpwstr>http://www.jstor.org/action/showPublisher?publisherCode=waterbird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DU REGIME ALIMENTAIRE DE LA CIGOGNE BLANCHE CICONIA CICONIA  L</dc:title>
  <dc:creator>Arris</dc:creator>
  <cp:lastModifiedBy>riq</cp:lastModifiedBy>
  <cp:revision>13</cp:revision>
  <cp:lastPrinted>2013-03-12T09:54:00Z</cp:lastPrinted>
  <dcterms:created xsi:type="dcterms:W3CDTF">2010-12-18T20:53:00Z</dcterms:created>
  <dcterms:modified xsi:type="dcterms:W3CDTF">2013-03-12T09:55:00Z</dcterms:modified>
</cp:coreProperties>
</file>